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62"/>
        <w:gridCol w:w="1134"/>
        <w:gridCol w:w="6520"/>
      </w:tblGrid>
      <w:tr w:rsidR="00F50CAC" w14:paraId="538FC6D5" w14:textId="77777777" w:rsidTr="00D03B3E">
        <w:trPr>
          <w:trHeight w:val="26"/>
        </w:trPr>
        <w:tc>
          <w:tcPr>
            <w:tcW w:w="196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0E3D48E2" w14:textId="6C851969" w:rsidR="00F50CAC" w:rsidRPr="00ED4FD5" w:rsidRDefault="00F50CAC" w:rsidP="00865F88">
            <w:pPr>
              <w:keepNext/>
              <w:spacing w:line="250" w:lineRule="exact"/>
              <w:jc w:val="both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</w:t>
            </w:r>
            <w:r w:rsidRPr="00E168E4">
              <w:rPr>
                <w:b/>
              </w:rPr>
              <w:t>ilsynets bemærkninger til: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6021CB7C" w14:textId="2C06C8D5" w:rsidR="00F50CAC" w:rsidRPr="00ED4FD5" w:rsidRDefault="00F50CAC" w:rsidP="00865F88">
            <w:pPr>
              <w:keepNext/>
              <w:spacing w:line="250" w:lineRule="exact"/>
              <w:jc w:val="both"/>
              <w:rPr>
                <w:b/>
              </w:rPr>
            </w:pPr>
            <w:r w:rsidRPr="00E168E4">
              <w:rPr>
                <w:b/>
              </w:rPr>
              <w:t>Udført Initialer</w:t>
            </w:r>
            <w:r>
              <w:rPr>
                <w:b/>
              </w:rPr>
              <w:t>/Dato</w:t>
            </w:r>
          </w:p>
        </w:tc>
        <w:tc>
          <w:tcPr>
            <w:tcW w:w="6520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</w:tcPr>
          <w:p w14:paraId="3CB3AA0F" w14:textId="1044FE73" w:rsidR="00F50CAC" w:rsidRPr="00ED4FD5" w:rsidRDefault="00F50CAC" w:rsidP="00F50CAC">
            <w:pPr>
              <w:keepNext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 xml:space="preserve">     B</w:t>
            </w:r>
            <w:r w:rsidRPr="00E168E4">
              <w:rPr>
                <w:b/>
              </w:rPr>
              <w:t>emærkning</w:t>
            </w:r>
            <w:r>
              <w:rPr>
                <w:b/>
              </w:rPr>
              <w:br/>
              <w:t xml:space="preserve">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>
              <w:rPr>
                <w:b/>
              </w:rPr>
              <w:t>fotodokumentation udføres ved alle tilsyn mv.)</w:t>
            </w:r>
          </w:p>
        </w:tc>
      </w:tr>
      <w:tr w:rsidR="00B7729F" w:rsidRPr="0065124A" w14:paraId="446AF02B" w14:textId="77777777" w:rsidTr="00B7729F">
        <w:trPr>
          <w:trHeight w:val="567"/>
        </w:trPr>
        <w:tc>
          <w:tcPr>
            <w:tcW w:w="96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0BC94BBB" w14:textId="30ED3315" w:rsidR="00B7729F" w:rsidRDefault="009B7144" w:rsidP="009B7144">
            <w:pPr>
              <w:keepNext/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Forberedende arbejder</w:t>
            </w:r>
          </w:p>
        </w:tc>
      </w:tr>
      <w:tr w:rsidR="009B7144" w:rsidRPr="0065124A" w14:paraId="2A649E3C" w14:textId="77777777" w:rsidTr="009B7144">
        <w:trPr>
          <w:trHeight w:val="567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AFF7585" w14:textId="77777777" w:rsidR="009B7144" w:rsidRDefault="009B7144" w:rsidP="009B7144">
            <w:pPr>
              <w:keepNext/>
              <w:spacing w:line="250" w:lineRule="exac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Klemskinne</w:t>
            </w:r>
            <w:r>
              <w:rPr>
                <w:b/>
                <w:sz w:val="16"/>
                <w:szCs w:val="16"/>
              </w:rPr>
              <w:br/>
            </w:r>
            <w:r w:rsidRPr="009A370B"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Foreligger der dokumentation for opspænding</w:t>
            </w:r>
          </w:p>
          <w:p w14:paraId="7EAC3200" w14:textId="77777777" w:rsidR="009B7144" w:rsidRDefault="009B7144" w:rsidP="009B7144">
            <w:pPr>
              <w:keepNext/>
              <w:spacing w:line="250" w:lineRule="exact"/>
              <w:rPr>
                <w:sz w:val="16"/>
                <w:szCs w:val="16"/>
              </w:rPr>
            </w:pPr>
            <w:r w:rsidRPr="009A370B"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Foreligger der dokumentation for affedtning/klargøring</w:t>
            </w:r>
          </w:p>
          <w:p w14:paraId="19C01D8A" w14:textId="77777777" w:rsidR="00E9224A" w:rsidRDefault="00E9224A" w:rsidP="009B7144">
            <w:pPr>
              <w:keepNext/>
              <w:spacing w:line="250" w:lineRule="exact"/>
              <w:rPr>
                <w:b/>
                <w:sz w:val="16"/>
                <w:szCs w:val="16"/>
              </w:rPr>
            </w:pPr>
            <w:r w:rsidRPr="00E9224A">
              <w:rPr>
                <w:b/>
                <w:sz w:val="16"/>
                <w:szCs w:val="16"/>
              </w:rPr>
              <w:t>Dokumentation:</w:t>
            </w:r>
          </w:p>
          <w:p w14:paraId="36882778" w14:textId="0BFC5C49" w:rsidR="00E9224A" w:rsidRDefault="005C1514" w:rsidP="007919C4">
            <w:pPr>
              <w:keepNext/>
              <w:spacing w:line="250" w:lineRule="exact"/>
              <w:rPr>
                <w:b/>
              </w:rPr>
            </w:pPr>
            <w:r>
              <w:rPr>
                <w:b/>
                <w:sz w:val="16"/>
                <w:szCs w:val="16"/>
              </w:rPr>
              <w:br/>
            </w:r>
            <w:r w:rsidR="007919C4">
              <w:rPr>
                <w:b/>
                <w:sz w:val="16"/>
                <w:szCs w:val="16"/>
              </w:rPr>
              <w:t>T</w:t>
            </w:r>
            <w:r w:rsidR="00E9224A">
              <w:rPr>
                <w:b/>
                <w:sz w:val="16"/>
                <w:szCs w:val="16"/>
              </w:rPr>
              <w:t>emperatur</w:t>
            </w:r>
            <w:r>
              <w:rPr>
                <w:b/>
                <w:sz w:val="16"/>
                <w:szCs w:val="16"/>
              </w:rPr>
              <w:t xml:space="preserve">- og vejrlig </w:t>
            </w:r>
            <w:r w:rsidR="00E9224A">
              <w:rPr>
                <w:b/>
                <w:sz w:val="16"/>
                <w:szCs w:val="16"/>
              </w:rPr>
              <w:t>krav</w:t>
            </w:r>
            <w:r w:rsidR="007919C4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5EFC3D" w14:textId="77777777" w:rsidR="009B7144" w:rsidRDefault="009B7144" w:rsidP="009B7144">
            <w:pPr>
              <w:keepNext/>
              <w:spacing w:line="250" w:lineRule="exact"/>
              <w:jc w:val="both"/>
              <w:rPr>
                <w:b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14:paraId="595FCF5B" w14:textId="1A70CED8" w:rsidR="009B7144" w:rsidRDefault="009B7144" w:rsidP="009B7144">
            <w:pPr>
              <w:keepNext/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klemskinner efterspændt 2 gange:</w:t>
            </w:r>
          </w:p>
          <w:p w14:paraId="74BC06E3" w14:textId="77777777" w:rsidR="009B7144" w:rsidRDefault="009B7144" w:rsidP="009B7144">
            <w:pPr>
              <w:keepNext/>
              <w:spacing w:line="250" w:lineRule="exact"/>
              <w:jc w:val="both"/>
              <w:rPr>
                <w:sz w:val="16"/>
                <w:szCs w:val="16"/>
              </w:rPr>
            </w:pPr>
          </w:p>
          <w:p w14:paraId="72315B3B" w14:textId="59230E6C" w:rsidR="009B7144" w:rsidRDefault="009B7144" w:rsidP="009B7144">
            <w:pPr>
              <w:keepNext/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Er klemskinner klargjort for grunding:</w:t>
            </w:r>
          </w:p>
          <w:p w14:paraId="57402A82" w14:textId="77777777" w:rsidR="009B7144" w:rsidRDefault="009B7144" w:rsidP="009B7144">
            <w:pPr>
              <w:keepNext/>
              <w:spacing w:line="250" w:lineRule="exact"/>
              <w:jc w:val="both"/>
              <w:rPr>
                <w:b/>
              </w:rPr>
            </w:pPr>
          </w:p>
          <w:p w14:paraId="49E32739" w14:textId="6B6D0F65" w:rsidR="00E9224A" w:rsidRDefault="00E9224A" w:rsidP="007919C4">
            <w:pPr>
              <w:keepNext/>
              <w:spacing w:line="250" w:lineRule="exact"/>
              <w:rPr>
                <w:b/>
              </w:rPr>
            </w:pPr>
            <w:r w:rsidRPr="00E9224A">
              <w:rPr>
                <w:sz w:val="16"/>
                <w:szCs w:val="16"/>
              </w:rPr>
              <w:t>Er systemtest for fuge (hhv. type A/B) maksimalt 5 år gammel?</w:t>
            </w:r>
            <w:r w:rsidR="005C1514">
              <w:rPr>
                <w:sz w:val="16"/>
                <w:szCs w:val="16"/>
              </w:rPr>
              <w:br/>
            </w:r>
            <w:r w:rsidR="007919C4">
              <w:rPr>
                <w:sz w:val="16"/>
                <w:szCs w:val="16"/>
              </w:rPr>
              <w:br/>
            </w:r>
            <w:r w:rsidR="007919C4">
              <w:rPr>
                <w:sz w:val="16"/>
                <w:szCs w:val="16"/>
              </w:rPr>
              <w:br/>
              <w:t>Overholder vejrliget krav jf. AAB</w:t>
            </w:r>
            <w:r w:rsidR="005C1514">
              <w:rPr>
                <w:sz w:val="16"/>
                <w:szCs w:val="16"/>
              </w:rPr>
              <w:t xml:space="preserve"> for udførelsen</w:t>
            </w:r>
            <w:r w:rsidR="007919C4" w:rsidRPr="00E9224A">
              <w:rPr>
                <w:sz w:val="16"/>
                <w:szCs w:val="16"/>
              </w:rPr>
              <w:t>?</w:t>
            </w:r>
            <w:r w:rsidR="007919C4">
              <w:rPr>
                <w:sz w:val="16"/>
                <w:szCs w:val="16"/>
              </w:rPr>
              <w:br/>
            </w:r>
          </w:p>
        </w:tc>
      </w:tr>
      <w:tr w:rsidR="009B7144" w:rsidRPr="0065124A" w14:paraId="4DA3BDEC" w14:textId="77777777" w:rsidTr="00B7729F">
        <w:trPr>
          <w:trHeight w:val="567"/>
        </w:trPr>
        <w:tc>
          <w:tcPr>
            <w:tcW w:w="96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1ACCF91" w14:textId="4BA2C015" w:rsidR="009B7144" w:rsidRDefault="009B7144" w:rsidP="009B7144">
            <w:pPr>
              <w:keepNext/>
              <w:spacing w:line="250" w:lineRule="exact"/>
              <w:jc w:val="both"/>
              <w:rPr>
                <w:b/>
              </w:rPr>
            </w:pPr>
            <w:r>
              <w:rPr>
                <w:b/>
              </w:rPr>
              <w:t>Udførelse af grunder:</w:t>
            </w:r>
          </w:p>
        </w:tc>
      </w:tr>
      <w:tr w:rsidR="00ED4FD5" w:rsidRPr="0065124A" w14:paraId="01EB72B1" w14:textId="77777777" w:rsidTr="00ED4FD5">
        <w:trPr>
          <w:trHeight w:val="567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5EFB" w14:textId="7484746A" w:rsidR="00ED4FD5" w:rsidRDefault="00E9224A" w:rsidP="00ED4FD5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Grunder</w:t>
            </w:r>
            <w:r w:rsidR="00ED4FD5" w:rsidRPr="00D519CC">
              <w:rPr>
                <w:b/>
                <w:sz w:val="16"/>
                <w:szCs w:val="16"/>
              </w:rPr>
              <w:t>:</w:t>
            </w:r>
          </w:p>
          <w:p w14:paraId="45DB7565" w14:textId="77777777" w:rsidR="009A370B" w:rsidRDefault="009A370B" w:rsidP="00ED4FD5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</w:p>
          <w:p w14:paraId="0F338853" w14:textId="77777777" w:rsidR="007919C4" w:rsidRDefault="007919C4" w:rsidP="00ED4FD5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</w:p>
          <w:p w14:paraId="47018974" w14:textId="12A8EF23" w:rsidR="007919C4" w:rsidRDefault="007919C4" w:rsidP="00ED4FD5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 w:rsidRPr="009A370B">
              <w:rPr>
                <w:b/>
                <w:sz w:val="16"/>
                <w:szCs w:val="16"/>
              </w:rPr>
              <w:t>Note:</w:t>
            </w:r>
            <w:r>
              <w:rPr>
                <w:sz w:val="16"/>
                <w:szCs w:val="16"/>
              </w:rPr>
              <w:t xml:space="preserve"> Må ikke beskadige underliggende konstruktionsdele</w:t>
            </w:r>
          </w:p>
          <w:p w14:paraId="29553F2B" w14:textId="467BBF9D" w:rsidR="007919C4" w:rsidRPr="00D519CC" w:rsidRDefault="007919C4" w:rsidP="005C1514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5C1514" w:rsidRPr="009A370B">
              <w:rPr>
                <w:b/>
                <w:sz w:val="16"/>
                <w:szCs w:val="16"/>
              </w:rPr>
              <w:t>Note:</w:t>
            </w:r>
            <w:r w:rsidR="005C1514">
              <w:rPr>
                <w:sz w:val="16"/>
                <w:szCs w:val="16"/>
              </w:rPr>
              <w:t xml:space="preserve"> Batch for både A og E fuge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2E03" w14:textId="17A56E1A" w:rsidR="00ED4FD5" w:rsidRPr="0065124A" w:rsidRDefault="00ED4FD5" w:rsidP="00ED4FD5">
            <w:pPr>
              <w:keepNext/>
              <w:spacing w:line="250" w:lineRule="exact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B3A3DD" w14:textId="3963058F" w:rsidR="007919C4" w:rsidRDefault="00E9224A" w:rsidP="00ED4FD5">
            <w:pPr>
              <w:rPr>
                <w:sz w:val="16"/>
                <w:szCs w:val="16"/>
              </w:rPr>
            </w:pPr>
            <w:r w:rsidRPr="007919C4">
              <w:rPr>
                <w:b/>
                <w:sz w:val="16"/>
                <w:szCs w:val="16"/>
              </w:rPr>
              <w:t>For smeltbare fuger, type A</w:t>
            </w:r>
            <w:r w:rsidR="007919C4">
              <w:rPr>
                <w:b/>
                <w:sz w:val="16"/>
                <w:szCs w:val="16"/>
              </w:rPr>
              <w:t>/E</w:t>
            </w:r>
            <w:r w:rsidRPr="007919C4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Er der lagt klæbebrydende lag: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Er fugespalten som </w:t>
            </w:r>
            <w:r w:rsidR="000700F1">
              <w:rPr>
                <w:sz w:val="16"/>
                <w:szCs w:val="16"/>
              </w:rPr>
              <w:t xml:space="preserve">foreskrevet </w:t>
            </w:r>
            <w:r>
              <w:rPr>
                <w:sz w:val="16"/>
                <w:szCs w:val="16"/>
              </w:rPr>
              <w:t>(dimension mv.):</w:t>
            </w:r>
          </w:p>
          <w:p w14:paraId="69DE234E" w14:textId="1E20CB19" w:rsidR="00E9224A" w:rsidRDefault="007919C4" w:rsidP="00ED4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Er fugespalten fuldstændig rengjort:</w:t>
            </w:r>
            <w:r w:rsidR="00E9224A">
              <w:rPr>
                <w:sz w:val="16"/>
                <w:szCs w:val="16"/>
              </w:rPr>
              <w:br/>
            </w:r>
          </w:p>
          <w:p w14:paraId="578306FA" w14:textId="5BFA91D5" w:rsidR="007919C4" w:rsidRDefault="007919C4" w:rsidP="00ED4FD5">
            <w:pPr>
              <w:rPr>
                <w:sz w:val="16"/>
                <w:szCs w:val="16"/>
              </w:rPr>
            </w:pPr>
            <w:r w:rsidRPr="007919C4">
              <w:rPr>
                <w:b/>
                <w:sz w:val="16"/>
                <w:szCs w:val="16"/>
              </w:rPr>
              <w:t xml:space="preserve">For smeltbare fuger, type </w:t>
            </w:r>
            <w:r>
              <w:rPr>
                <w:b/>
                <w:sz w:val="16"/>
                <w:szCs w:val="16"/>
              </w:rPr>
              <w:t>E</w:t>
            </w:r>
            <w:r w:rsidRPr="007919C4">
              <w:rPr>
                <w:b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Er der udført revne</w:t>
            </w:r>
            <w:r w:rsidR="000700F1">
              <w:rPr>
                <w:sz w:val="16"/>
                <w:szCs w:val="16"/>
              </w:rPr>
              <w:t>an</w:t>
            </w:r>
            <w:r>
              <w:rPr>
                <w:sz w:val="16"/>
                <w:szCs w:val="16"/>
              </w:rPr>
              <w:t>viser:</w:t>
            </w:r>
            <w:r>
              <w:rPr>
                <w:sz w:val="16"/>
                <w:szCs w:val="16"/>
              </w:rPr>
              <w:br/>
            </w:r>
          </w:p>
          <w:p w14:paraId="180A4CFA" w14:textId="0FB5D7F4" w:rsidR="00ED4FD5" w:rsidRDefault="00ED4FD5" w:rsidP="00ED4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batch nr. for grunder</w:t>
            </w:r>
            <w:r w:rsidR="00E9224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jf. AAB's krav:</w:t>
            </w:r>
          </w:p>
          <w:p w14:paraId="4F10A559" w14:textId="77777777" w:rsidR="00E9224A" w:rsidRDefault="00E9224A" w:rsidP="00ED4FD5">
            <w:pPr>
              <w:rPr>
                <w:sz w:val="16"/>
                <w:szCs w:val="16"/>
              </w:rPr>
            </w:pPr>
          </w:p>
          <w:p w14:paraId="4E40762D" w14:textId="26D906CF" w:rsidR="00E9224A" w:rsidRDefault="007919C4" w:rsidP="00E9224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For </w:t>
            </w:r>
            <w:proofErr w:type="spellStart"/>
            <w:r>
              <w:rPr>
                <w:b/>
                <w:sz w:val="16"/>
                <w:szCs w:val="16"/>
              </w:rPr>
              <w:t>hærdbare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E9224A" w:rsidRPr="007919C4">
              <w:rPr>
                <w:b/>
                <w:sz w:val="16"/>
                <w:szCs w:val="16"/>
              </w:rPr>
              <w:t>fuger, type B:</w:t>
            </w:r>
            <w:r w:rsidR="00E9224A">
              <w:rPr>
                <w:sz w:val="16"/>
                <w:szCs w:val="16"/>
              </w:rPr>
              <w:br/>
              <w:t xml:space="preserve">Er fugespalten som </w:t>
            </w:r>
            <w:r w:rsidR="000700F1">
              <w:rPr>
                <w:sz w:val="16"/>
                <w:szCs w:val="16"/>
              </w:rPr>
              <w:t xml:space="preserve">foreskrevet </w:t>
            </w:r>
            <w:r w:rsidR="00E9224A">
              <w:rPr>
                <w:sz w:val="16"/>
                <w:szCs w:val="16"/>
              </w:rPr>
              <w:t>(dimension mv.):</w:t>
            </w:r>
            <w:r w:rsidR="00E9224A">
              <w:rPr>
                <w:sz w:val="16"/>
                <w:szCs w:val="16"/>
              </w:rPr>
              <w:br/>
            </w:r>
          </w:p>
          <w:p w14:paraId="4CA4182E" w14:textId="1A02718B" w:rsidR="00E9224A" w:rsidRDefault="00E9224A" w:rsidP="00E9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batch nr. for hhv. grunder jf. AAB's krav:</w:t>
            </w:r>
          </w:p>
          <w:p w14:paraId="1EE42A95" w14:textId="77777777" w:rsidR="00ED4FD5" w:rsidRDefault="00ED4FD5" w:rsidP="00ED4FD5">
            <w:pPr>
              <w:rPr>
                <w:sz w:val="16"/>
                <w:szCs w:val="16"/>
              </w:rPr>
            </w:pPr>
          </w:p>
          <w:p w14:paraId="0F5AFA75" w14:textId="1B87056F" w:rsidR="00ED4FD5" w:rsidRDefault="00ED4FD5" w:rsidP="00ED4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 der bemærkninger til udført grunding</w:t>
            </w:r>
            <w:r w:rsidR="00E9224A">
              <w:rPr>
                <w:sz w:val="16"/>
                <w:szCs w:val="16"/>
              </w:rPr>
              <w:t xml:space="preserve"> (hhv. type A</w:t>
            </w:r>
            <w:r w:rsidR="007919C4">
              <w:rPr>
                <w:sz w:val="16"/>
                <w:szCs w:val="16"/>
              </w:rPr>
              <w:t>,</w:t>
            </w:r>
            <w:r w:rsidR="00E9224A">
              <w:rPr>
                <w:sz w:val="16"/>
                <w:szCs w:val="16"/>
              </w:rPr>
              <w:t xml:space="preserve"> B</w:t>
            </w:r>
            <w:r w:rsidR="007919C4">
              <w:rPr>
                <w:sz w:val="16"/>
                <w:szCs w:val="16"/>
              </w:rPr>
              <w:t xml:space="preserve"> og E</w:t>
            </w:r>
            <w:r w:rsidR="00E9224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</w:p>
          <w:p w14:paraId="30F6AA2E" w14:textId="452F1E95" w:rsidR="00B7729F" w:rsidRPr="0065124A" w:rsidRDefault="00B7729F" w:rsidP="00E9224A"/>
        </w:tc>
      </w:tr>
    </w:tbl>
    <w:p w14:paraId="127232CF" w14:textId="77777777" w:rsidR="005C1514" w:rsidRDefault="005C1514">
      <w:r>
        <w:br w:type="page"/>
      </w: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62"/>
        <w:gridCol w:w="1134"/>
        <w:gridCol w:w="6520"/>
      </w:tblGrid>
      <w:tr w:rsidR="00D519CC" w:rsidRPr="0065124A" w14:paraId="36D74A09" w14:textId="77777777" w:rsidTr="00B7729F">
        <w:trPr>
          <w:trHeight w:val="567"/>
        </w:trPr>
        <w:tc>
          <w:tcPr>
            <w:tcW w:w="961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DD6EE" w:themeFill="accent1" w:themeFillTint="66"/>
          </w:tcPr>
          <w:p w14:paraId="38EEA907" w14:textId="70E420E5" w:rsidR="00D519CC" w:rsidRDefault="00E9224A" w:rsidP="00E9224A">
            <w:pPr>
              <w:keepNext/>
              <w:spacing w:line="250" w:lineRule="exact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lastRenderedPageBreak/>
              <w:t>Udførelse af fugemasse</w:t>
            </w:r>
            <w:r w:rsidR="00CB4460">
              <w:rPr>
                <w:b/>
              </w:rPr>
              <w:t xml:space="preserve"> (inkl. skræver for type E)</w:t>
            </w:r>
            <w:r w:rsidR="00D519CC" w:rsidRPr="00B7729F">
              <w:rPr>
                <w:b/>
              </w:rPr>
              <w:t>:</w:t>
            </w:r>
          </w:p>
        </w:tc>
      </w:tr>
      <w:tr w:rsidR="00D519CC" w:rsidRPr="0065124A" w14:paraId="302A2648" w14:textId="77777777" w:rsidTr="00ED4FD5">
        <w:trPr>
          <w:trHeight w:val="567"/>
        </w:trPr>
        <w:tc>
          <w:tcPr>
            <w:tcW w:w="19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5BC7" w14:textId="6EE70518" w:rsidR="00796AA2" w:rsidRDefault="00D519CC" w:rsidP="00E12085">
            <w:pPr>
              <w:keepNext/>
              <w:spacing w:line="240" w:lineRule="auto"/>
              <w:rPr>
                <w:sz w:val="16"/>
                <w:szCs w:val="16"/>
              </w:rPr>
            </w:pPr>
            <w:r w:rsidRPr="00D519CC">
              <w:rPr>
                <w:b/>
                <w:sz w:val="16"/>
                <w:szCs w:val="16"/>
              </w:rPr>
              <w:t>F</w:t>
            </w:r>
            <w:r w:rsidR="005C1514">
              <w:rPr>
                <w:b/>
                <w:sz w:val="16"/>
                <w:szCs w:val="16"/>
              </w:rPr>
              <w:t>ugemasse</w:t>
            </w:r>
            <w:r w:rsidRPr="00D519CC">
              <w:rPr>
                <w:b/>
                <w:sz w:val="16"/>
                <w:szCs w:val="16"/>
              </w:rPr>
              <w:t>:</w:t>
            </w:r>
            <w:r w:rsidR="00160D23">
              <w:rPr>
                <w:b/>
                <w:sz w:val="16"/>
                <w:szCs w:val="16"/>
              </w:rPr>
              <w:br/>
            </w:r>
            <w:r w:rsidR="00160D23">
              <w:rPr>
                <w:b/>
                <w:sz w:val="16"/>
                <w:szCs w:val="16"/>
              </w:rPr>
              <w:br/>
              <w:t xml:space="preserve">Note: </w:t>
            </w:r>
            <w:r w:rsidR="005C1514">
              <w:rPr>
                <w:sz w:val="16"/>
                <w:szCs w:val="16"/>
              </w:rPr>
              <w:t>Kont</w:t>
            </w:r>
            <w:r w:rsidR="00796AA2">
              <w:rPr>
                <w:sz w:val="16"/>
                <w:szCs w:val="16"/>
              </w:rPr>
              <w:t>r</w:t>
            </w:r>
            <w:r w:rsidR="005C1514">
              <w:rPr>
                <w:sz w:val="16"/>
                <w:szCs w:val="16"/>
              </w:rPr>
              <w:t xml:space="preserve">ol af batch </w:t>
            </w:r>
            <w:proofErr w:type="gramStart"/>
            <w:r w:rsidR="005C1514">
              <w:rPr>
                <w:sz w:val="16"/>
                <w:szCs w:val="16"/>
              </w:rPr>
              <w:t>jf.</w:t>
            </w:r>
            <w:r w:rsidR="00C45FBE">
              <w:rPr>
                <w:sz w:val="16"/>
                <w:szCs w:val="16"/>
              </w:rPr>
              <w:t xml:space="preserve"> </w:t>
            </w:r>
            <w:r w:rsidR="005C1514">
              <w:rPr>
                <w:sz w:val="16"/>
                <w:szCs w:val="16"/>
              </w:rPr>
              <w:t>AAB krav</w:t>
            </w:r>
            <w:proofErr w:type="gramEnd"/>
          </w:p>
          <w:p w14:paraId="7ACEE9AC" w14:textId="77777777" w:rsidR="00CB4460" w:rsidRDefault="009A370B" w:rsidP="00E12085">
            <w:pPr>
              <w:keepNext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</w:p>
          <w:p w14:paraId="69EF0385" w14:textId="6EE76EAE" w:rsidR="00796AA2" w:rsidRDefault="009A370B" w:rsidP="00E12085">
            <w:pPr>
              <w:keepNext/>
              <w:spacing w:line="240" w:lineRule="auto"/>
              <w:rPr>
                <w:sz w:val="16"/>
                <w:szCs w:val="16"/>
              </w:rPr>
            </w:pPr>
            <w:r w:rsidRPr="00E12085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>o</w:t>
            </w:r>
            <w:r w:rsidRPr="00E12085">
              <w:rPr>
                <w:b/>
                <w:sz w:val="16"/>
                <w:szCs w:val="16"/>
              </w:rPr>
              <w:t>te:</w:t>
            </w:r>
            <w:r>
              <w:rPr>
                <w:sz w:val="16"/>
                <w:szCs w:val="16"/>
              </w:rPr>
              <w:t xml:space="preserve"> </w:t>
            </w:r>
            <w:r w:rsidR="005C1514">
              <w:rPr>
                <w:sz w:val="16"/>
                <w:szCs w:val="16"/>
              </w:rPr>
              <w:t>Fugemassen skal have fald væk fra inderside kantbjælke, der må ikke være lunke i fugemasse</w:t>
            </w:r>
            <w:r>
              <w:rPr>
                <w:sz w:val="16"/>
                <w:szCs w:val="16"/>
              </w:rPr>
              <w:t xml:space="preserve"> </w:t>
            </w:r>
          </w:p>
          <w:p w14:paraId="409BAAD2" w14:textId="0B144447" w:rsidR="00D519CC" w:rsidRPr="00E12085" w:rsidRDefault="009A370B" w:rsidP="00E77ABF">
            <w:pPr>
              <w:keepNext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796AA2" w:rsidRPr="00E12085">
              <w:rPr>
                <w:b/>
                <w:sz w:val="16"/>
                <w:szCs w:val="16"/>
              </w:rPr>
              <w:t>Note:</w:t>
            </w:r>
            <w:r w:rsidR="00796AA2">
              <w:rPr>
                <w:sz w:val="16"/>
                <w:szCs w:val="16"/>
              </w:rPr>
              <w:t xml:space="preserve"> </w:t>
            </w:r>
            <w:r w:rsidR="005C1514">
              <w:rPr>
                <w:sz w:val="16"/>
                <w:szCs w:val="16"/>
              </w:rPr>
              <w:t>For at give jævn overflade</w:t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 w:rsidRPr="00E12085">
              <w:rPr>
                <w:b/>
                <w:sz w:val="16"/>
                <w:szCs w:val="16"/>
              </w:rPr>
              <w:t>Note:</w:t>
            </w:r>
            <w:r w:rsidR="00302044">
              <w:rPr>
                <w:sz w:val="16"/>
                <w:szCs w:val="16"/>
              </w:rPr>
              <w:t xml:space="preserve"> Der må kun fyldes 1/3 til start – når denne er smeltet opfyldes</w:t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 w:rsidRPr="00E12085">
              <w:rPr>
                <w:b/>
                <w:sz w:val="16"/>
                <w:szCs w:val="16"/>
              </w:rPr>
              <w:t>Note:</w:t>
            </w:r>
            <w:r w:rsidR="00302044">
              <w:rPr>
                <w:sz w:val="16"/>
                <w:szCs w:val="16"/>
              </w:rPr>
              <w:t xml:space="preserve"> Fugemasse kasseres efter 6 timer i opvarmer (koger)</w:t>
            </w:r>
            <w:r w:rsidR="00302044">
              <w:rPr>
                <w:sz w:val="16"/>
                <w:szCs w:val="16"/>
              </w:rPr>
              <w:br/>
            </w:r>
            <w:r w:rsidR="00302044">
              <w:rPr>
                <w:sz w:val="16"/>
                <w:szCs w:val="16"/>
              </w:rPr>
              <w:br/>
            </w:r>
            <w:r w:rsidR="00302044" w:rsidRPr="00E12085">
              <w:rPr>
                <w:b/>
                <w:sz w:val="16"/>
                <w:szCs w:val="16"/>
              </w:rPr>
              <w:t>Note:</w:t>
            </w:r>
            <w:r w:rsidR="00302044">
              <w:rPr>
                <w:sz w:val="16"/>
                <w:szCs w:val="16"/>
              </w:rPr>
              <w:t xml:space="preserve"> Fugemasse skal ilægges af 2 omgange</w:t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>
              <w:rPr>
                <w:sz w:val="16"/>
                <w:szCs w:val="16"/>
              </w:rPr>
              <w:br/>
            </w:r>
            <w:r w:rsidR="00CB4460" w:rsidRPr="00E12085">
              <w:rPr>
                <w:b/>
                <w:sz w:val="16"/>
                <w:szCs w:val="16"/>
              </w:rPr>
              <w:t>Note:</w:t>
            </w:r>
            <w:r w:rsidR="00CB4460">
              <w:rPr>
                <w:sz w:val="16"/>
                <w:szCs w:val="16"/>
              </w:rPr>
              <w:t xml:space="preserve"> Lagtykkelse maksimalt 2*stenstørrelsen</w:t>
            </w:r>
            <w:r w:rsidR="00CB4460">
              <w:rPr>
                <w:sz w:val="16"/>
                <w:szCs w:val="16"/>
              </w:rPr>
              <w:br/>
            </w:r>
            <w:r w:rsidR="00CB4460" w:rsidRPr="00E12085">
              <w:rPr>
                <w:b/>
                <w:sz w:val="16"/>
                <w:szCs w:val="16"/>
              </w:rPr>
              <w:t>Note:</w:t>
            </w:r>
            <w:r w:rsidR="00CB4460">
              <w:rPr>
                <w:sz w:val="16"/>
                <w:szCs w:val="16"/>
              </w:rPr>
              <w:t xml:space="preserve"> For sikring af vedhæftning</w:t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 w:rsidR="00E77ABF" w:rsidRPr="00E12085">
              <w:rPr>
                <w:b/>
                <w:sz w:val="16"/>
                <w:szCs w:val="16"/>
              </w:rPr>
              <w:t>Note:</w:t>
            </w:r>
            <w:r w:rsidR="00E77ABF">
              <w:rPr>
                <w:sz w:val="16"/>
                <w:szCs w:val="16"/>
              </w:rPr>
              <w:t xml:space="preserve"> Min. 1 aflæsning pr. 30 min.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0ED0" w14:textId="21D6AEE0" w:rsidR="00D519CC" w:rsidRPr="0065124A" w:rsidRDefault="00D519CC" w:rsidP="00D519CC">
            <w:pPr>
              <w:keepNext/>
              <w:spacing w:line="250" w:lineRule="exact"/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E79C6" w14:textId="75A19674" w:rsidR="00E94A50" w:rsidRDefault="00E94A50" w:rsidP="00D519C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Materialer</w:t>
            </w:r>
            <w:r w:rsidR="005C1514">
              <w:rPr>
                <w:b/>
                <w:sz w:val="16"/>
                <w:szCs w:val="16"/>
                <w:u w:val="single"/>
              </w:rPr>
              <w:t xml:space="preserve"> til fuge type A, B og E</w:t>
            </w:r>
            <w:r>
              <w:rPr>
                <w:b/>
                <w:sz w:val="16"/>
                <w:szCs w:val="16"/>
                <w:u w:val="single"/>
              </w:rPr>
              <w:t>: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br/>
            </w:r>
            <w:r w:rsidR="005C1514">
              <w:rPr>
                <w:sz w:val="16"/>
                <w:szCs w:val="16"/>
              </w:rPr>
              <w:t>Er batch nr. for grunder jf. AAB's krav:</w:t>
            </w:r>
          </w:p>
          <w:p w14:paraId="3D0530DB" w14:textId="7FEA34B8" w:rsidR="005C1514" w:rsidRDefault="00CB4460" w:rsidP="00D5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  <w:u w:val="single"/>
              </w:rPr>
              <w:t>Stenmaterialer for fuge type E: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br/>
              <w:t>Opfylder sten krav jf. AAB:</w:t>
            </w:r>
            <w:r w:rsidR="00D519CC">
              <w:rPr>
                <w:sz w:val="16"/>
                <w:szCs w:val="16"/>
              </w:rPr>
              <w:t xml:space="preserve">     </w:t>
            </w:r>
          </w:p>
          <w:p w14:paraId="3F8E0B83" w14:textId="77777777" w:rsidR="00CB4460" w:rsidRDefault="00CB4460" w:rsidP="00D519CC">
            <w:pPr>
              <w:rPr>
                <w:b/>
                <w:sz w:val="16"/>
                <w:szCs w:val="16"/>
                <w:u w:val="single"/>
              </w:rPr>
            </w:pPr>
          </w:p>
          <w:p w14:paraId="4B363954" w14:textId="415682FB" w:rsidR="00D519CC" w:rsidRDefault="005C1514" w:rsidP="00D519C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Fuge B</w:t>
            </w:r>
            <w:r w:rsidR="00D519CC" w:rsidRPr="00E94A50">
              <w:rPr>
                <w:b/>
                <w:sz w:val="16"/>
                <w:szCs w:val="16"/>
                <w:u w:val="single"/>
              </w:rPr>
              <w:t>:</w:t>
            </w:r>
            <w:r w:rsidR="00E94A50">
              <w:rPr>
                <w:sz w:val="16"/>
                <w:szCs w:val="16"/>
              </w:rPr>
              <w:t xml:space="preserve">         </w:t>
            </w:r>
            <w:r w:rsidR="00E94A50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Er fuge udført korrekt</w:t>
            </w:r>
            <w:r w:rsidR="00E94A50">
              <w:rPr>
                <w:sz w:val="16"/>
                <w:szCs w:val="16"/>
              </w:rPr>
              <w:t xml:space="preserve">: </w:t>
            </w:r>
          </w:p>
          <w:p w14:paraId="66D649A5" w14:textId="77777777" w:rsidR="005C1514" w:rsidRDefault="00D519CC" w:rsidP="00D5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E94A50">
              <w:rPr>
                <w:sz w:val="16"/>
                <w:szCs w:val="16"/>
              </w:rPr>
              <w:br/>
              <w:t xml:space="preserve">  </w:t>
            </w:r>
          </w:p>
          <w:p w14:paraId="1401ADBB" w14:textId="734D25E5" w:rsidR="00E94A50" w:rsidRDefault="005C1514" w:rsidP="00D5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E94A50">
              <w:rPr>
                <w:sz w:val="16"/>
                <w:szCs w:val="16"/>
              </w:rPr>
              <w:t xml:space="preserve">r </w:t>
            </w:r>
            <w:r>
              <w:rPr>
                <w:sz w:val="16"/>
                <w:szCs w:val="16"/>
              </w:rPr>
              <w:t>overside fuge glittet med fugeske</w:t>
            </w:r>
            <w:r w:rsidR="00E94A50">
              <w:rPr>
                <w:sz w:val="16"/>
                <w:szCs w:val="16"/>
              </w:rPr>
              <w:t>:</w:t>
            </w:r>
          </w:p>
          <w:p w14:paraId="63067927" w14:textId="34FD1D79" w:rsidR="00D519CC" w:rsidRDefault="00D519CC" w:rsidP="00D519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C59A23C" w14:textId="5ECDC40B" w:rsidR="00302044" w:rsidRDefault="00302044" w:rsidP="0030204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Fuge A</w:t>
            </w:r>
            <w:r w:rsidRPr="00E94A50">
              <w:rPr>
                <w:b/>
                <w:sz w:val="16"/>
                <w:szCs w:val="16"/>
                <w:u w:val="single"/>
              </w:rPr>
              <w:t>:</w: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br/>
              <w:t>Er kedel fyldt korrekt (for opvarmning af fugemasse</w:t>
            </w:r>
            <w:r w:rsidR="000700F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:</w:t>
            </w:r>
          </w:p>
          <w:p w14:paraId="1EDB762A" w14:textId="77777777" w:rsidR="00302044" w:rsidRDefault="00302044" w:rsidP="00302044">
            <w:pPr>
              <w:rPr>
                <w:sz w:val="16"/>
                <w:szCs w:val="16"/>
              </w:rPr>
            </w:pPr>
          </w:p>
          <w:p w14:paraId="00F09B29" w14:textId="2FBB5804" w:rsidR="00302044" w:rsidRDefault="00302044" w:rsidP="00302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 fugemassen </w:t>
            </w:r>
            <w:r w:rsidR="000700F1">
              <w:rPr>
                <w:sz w:val="16"/>
                <w:szCs w:val="16"/>
              </w:rPr>
              <w:t xml:space="preserve">stået </w:t>
            </w:r>
            <w:r>
              <w:rPr>
                <w:sz w:val="16"/>
                <w:szCs w:val="16"/>
              </w:rPr>
              <w:t>under opvarm</w:t>
            </w:r>
            <w:r w:rsidR="00076B4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ing i mere en</w:t>
            </w:r>
            <w:r w:rsidR="000700F1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 6 timer?</w:t>
            </w:r>
          </w:p>
          <w:p w14:paraId="3F624FF2" w14:textId="77777777" w:rsidR="00302044" w:rsidRDefault="00302044" w:rsidP="00302044">
            <w:pPr>
              <w:rPr>
                <w:sz w:val="16"/>
                <w:szCs w:val="16"/>
              </w:rPr>
            </w:pPr>
          </w:p>
          <w:p w14:paraId="39A1D836" w14:textId="3BCC787E" w:rsidR="00302044" w:rsidRDefault="00302044" w:rsidP="003020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Ilægges fugemassen korrekt?</w:t>
            </w:r>
          </w:p>
          <w:p w14:paraId="7D3E3BD3" w14:textId="77777777" w:rsidR="00CB4460" w:rsidRDefault="00CB4460" w:rsidP="00302044">
            <w:pPr>
              <w:rPr>
                <w:sz w:val="16"/>
                <w:szCs w:val="16"/>
              </w:rPr>
            </w:pPr>
          </w:p>
          <w:p w14:paraId="3BA7D1D8" w14:textId="4E943A21" w:rsidR="009A370B" w:rsidRPr="0065124A" w:rsidRDefault="00CB4460" w:rsidP="00E77ABF">
            <w:r>
              <w:rPr>
                <w:b/>
                <w:sz w:val="16"/>
                <w:szCs w:val="16"/>
                <w:u w:val="single"/>
              </w:rPr>
              <w:t>Fuge E</w:t>
            </w:r>
            <w:r w:rsidRPr="00E94A50">
              <w:rPr>
                <w:b/>
                <w:sz w:val="16"/>
                <w:szCs w:val="16"/>
                <w:u w:val="single"/>
              </w:rPr>
              <w:t>:</w:t>
            </w:r>
            <w:r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br/>
              <w:t>Er bindemiddel udført korrekt (opad sider mv.):</w:t>
            </w:r>
            <w:r w:rsidR="00E77AB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Er stenmaterialet ilagt i ca. 20 – 50</w:t>
            </w:r>
            <w:r w:rsidR="000700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mm lagtykkelse til start:</w:t>
            </w:r>
            <w:r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Er der foretaget mekaniske bearbejdning for omrøring af materialet:</w:t>
            </w:r>
            <w:r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t>Er bindemidlet trukket udover tilstødende slidlag for forsegling:</w:t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  <w:t>Foretages måling og registrering af temperaturer for bindemiddel mv.:</w:t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</w:r>
            <w:r w:rsidR="00E77ABF">
              <w:rPr>
                <w:sz w:val="16"/>
                <w:szCs w:val="16"/>
              </w:rPr>
              <w:br/>
              <w:t>Foretages måling og registrering af temperaturer/luftfugtighed (for relativt fugtindhold):</w:t>
            </w:r>
          </w:p>
        </w:tc>
      </w:tr>
      <w:tr w:rsidR="0052799D" w:rsidRPr="0065124A" w14:paraId="3F6B4F5C" w14:textId="77777777" w:rsidTr="00D54309">
        <w:trPr>
          <w:trHeight w:val="567"/>
        </w:trPr>
        <w:tc>
          <w:tcPr>
            <w:tcW w:w="9616" w:type="dxa"/>
            <w:gridSpan w:val="3"/>
            <w:tcBorders>
              <w:top w:val="single" w:sz="6" w:space="0" w:color="auto"/>
              <w:bottom w:val="single" w:sz="18" w:space="0" w:color="auto"/>
            </w:tcBorders>
          </w:tcPr>
          <w:p w14:paraId="7450B6EF" w14:textId="2F46FE6D" w:rsidR="0052799D" w:rsidRDefault="0052799D" w:rsidP="0052799D">
            <w:pPr>
              <w:rPr>
                <w:b/>
              </w:rPr>
            </w:pPr>
            <w:r w:rsidRPr="00E168E4">
              <w:rPr>
                <w:b/>
              </w:rPr>
              <w:t>Tilsynets</w:t>
            </w:r>
            <w:r>
              <w:rPr>
                <w:b/>
              </w:rPr>
              <w:t xml:space="preserve"> accept af udført fugtisoleringsarbejde (dateres og signeres):</w:t>
            </w:r>
          </w:p>
          <w:p w14:paraId="6CA6E738" w14:textId="77777777" w:rsidR="0052799D" w:rsidRDefault="0052799D" w:rsidP="0052799D">
            <w:pPr>
              <w:rPr>
                <w:b/>
              </w:rPr>
            </w:pPr>
          </w:p>
          <w:p w14:paraId="37728529" w14:textId="33F5B5EB" w:rsidR="0052799D" w:rsidRDefault="0052799D" w:rsidP="0052799D">
            <w:pPr>
              <w:rPr>
                <w:sz w:val="16"/>
                <w:szCs w:val="16"/>
              </w:rPr>
            </w:pPr>
          </w:p>
        </w:tc>
      </w:tr>
    </w:tbl>
    <w:p w14:paraId="04F20546" w14:textId="77777777" w:rsidR="00AA383C" w:rsidRDefault="00AA383C" w:rsidP="00D54309"/>
    <w:sectPr w:rsidR="00AA383C" w:rsidSect="007F04A3">
      <w:headerReference w:type="default" r:id="rId8"/>
      <w:pgSz w:w="11906" w:h="16838"/>
      <w:pgMar w:top="1418" w:right="1134" w:bottom="1276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9CABB" w14:textId="77777777" w:rsidR="00AF5F72" w:rsidRDefault="00AF5F72" w:rsidP="00AA383C">
      <w:pPr>
        <w:spacing w:after="0" w:line="240" w:lineRule="auto"/>
      </w:pPr>
      <w:r>
        <w:separator/>
      </w:r>
    </w:p>
  </w:endnote>
  <w:endnote w:type="continuationSeparator" w:id="0">
    <w:p w14:paraId="389577D4" w14:textId="77777777" w:rsidR="00AF5F72" w:rsidRDefault="00AF5F72" w:rsidP="00AA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DFFDF" w14:textId="77777777" w:rsidR="00AF5F72" w:rsidRDefault="00AF5F72" w:rsidP="00AA383C">
      <w:pPr>
        <w:spacing w:after="0" w:line="240" w:lineRule="auto"/>
      </w:pPr>
      <w:r>
        <w:separator/>
      </w:r>
    </w:p>
  </w:footnote>
  <w:footnote w:type="continuationSeparator" w:id="0">
    <w:p w14:paraId="539E5742" w14:textId="77777777" w:rsidR="00AF5F72" w:rsidRDefault="00AF5F72" w:rsidP="00AA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1E81" w14:textId="485D4125" w:rsidR="00AA383C" w:rsidRPr="00E4128F" w:rsidRDefault="00A7206E">
    <w:pPr>
      <w:pStyle w:val="Header"/>
      <w:rPr>
        <w:b/>
        <w:bCs/>
      </w:rPr>
    </w:pPr>
    <w:r w:rsidRPr="00A7206E">
      <w:rPr>
        <w:lang w:val="en-US"/>
      </w:rPr>
      <w:ptab w:relativeTo="margin" w:alignment="center" w:leader="none"/>
    </w:r>
    <w:r w:rsidR="00C45FBE" w:rsidRPr="00C45FBE">
      <w:t xml:space="preserve"> </w:t>
    </w:r>
    <w:r w:rsidR="00C45FBE">
      <w:t>Håndbog</w:t>
    </w:r>
    <w:r w:rsidR="00C45FBE" w:rsidRPr="007F04A3">
      <w:t xml:space="preserve"> </w:t>
    </w:r>
    <w:r w:rsidR="00C45FBE">
      <w:t>– Tilsyn - F</w:t>
    </w:r>
    <w:r w:rsidR="00C45FBE" w:rsidRPr="007F04A3">
      <w:t xml:space="preserve">ugtisolering og </w:t>
    </w:r>
    <w:r w:rsidR="00C45FBE">
      <w:t>B</w:t>
    </w:r>
    <w:r w:rsidR="00C45FBE" w:rsidRPr="007F04A3">
      <w:t>robelægning</w:t>
    </w:r>
    <w:r w:rsidR="00C45FBE" w:rsidRPr="007F04A3" w:rsidDel="00C45FBE">
      <w:t xml:space="preserve"> </w:t>
    </w:r>
    <w:r w:rsidRPr="00A7206E">
      <w:rPr>
        <w:lang w:val="en-US"/>
      </w:rPr>
      <w:ptab w:relativeTo="margin" w:alignment="right" w:leader="none"/>
    </w:r>
    <w:r w:rsidRPr="007F04A3">
      <w:t xml:space="preserve">Side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PAGE  \* Arabic  \* MERGEFORMAT</w:instrText>
    </w:r>
    <w:r w:rsidRPr="00A7206E">
      <w:rPr>
        <w:b/>
        <w:bCs/>
        <w:lang w:val="en-US"/>
      </w:rPr>
      <w:fldChar w:fldCharType="separate"/>
    </w:r>
    <w:r w:rsidR="00E4128F">
      <w:rPr>
        <w:b/>
        <w:bCs/>
        <w:noProof/>
      </w:rPr>
      <w:t>3</w:t>
    </w:r>
    <w:r w:rsidRPr="00A7206E">
      <w:rPr>
        <w:b/>
        <w:bCs/>
        <w:lang w:val="en-US"/>
      </w:rPr>
      <w:fldChar w:fldCharType="end"/>
    </w:r>
    <w:r w:rsidRPr="007F04A3">
      <w:t xml:space="preserve"> af </w:t>
    </w:r>
    <w:r w:rsidRPr="00A7206E">
      <w:rPr>
        <w:b/>
        <w:bCs/>
        <w:lang w:val="en-US"/>
      </w:rPr>
      <w:fldChar w:fldCharType="begin"/>
    </w:r>
    <w:r w:rsidRPr="007F04A3">
      <w:rPr>
        <w:b/>
        <w:bCs/>
      </w:rPr>
      <w:instrText>NUMPAGES  \* Arabic  \* MERGEFORMAT</w:instrText>
    </w:r>
    <w:r w:rsidRPr="00A7206E">
      <w:rPr>
        <w:b/>
        <w:bCs/>
        <w:lang w:val="en-US"/>
      </w:rPr>
      <w:fldChar w:fldCharType="separate"/>
    </w:r>
    <w:r w:rsidR="00E4128F">
      <w:rPr>
        <w:b/>
        <w:bCs/>
        <w:noProof/>
      </w:rPr>
      <w:t>3</w:t>
    </w:r>
    <w:r w:rsidRPr="00A7206E">
      <w:rPr>
        <w:b/>
        <w:bCs/>
        <w:lang w:val="en-US"/>
      </w:rPr>
      <w:fldChar w:fldCharType="end"/>
    </w:r>
  </w:p>
  <w:p w14:paraId="6A539711" w14:textId="3C990F2B" w:rsidR="000700F1" w:rsidRPr="009A6533" w:rsidRDefault="00A42989" w:rsidP="00457B34">
    <w:pPr>
      <w:pStyle w:val="Header"/>
      <w:jc w:val="center"/>
    </w:pPr>
    <w:r w:rsidRPr="009A6533">
      <w:t>Bilag 5</w:t>
    </w:r>
    <w:r w:rsidR="00C45FBE" w:rsidRPr="009A6533">
      <w:t xml:space="preserve"> - </w:t>
    </w:r>
    <w:r w:rsidR="009B7144" w:rsidRPr="009A6533">
      <w:t>Elastiske fuger</w:t>
    </w:r>
  </w:p>
  <w:p w14:paraId="0A465C7C" w14:textId="56E7BF95" w:rsidR="00457B34" w:rsidRPr="000700F1" w:rsidRDefault="00C45FBE" w:rsidP="00457B34">
    <w:pPr>
      <w:pStyle w:val="Header"/>
      <w:jc w:val="center"/>
      <w:rPr>
        <w:b/>
      </w:rPr>
    </w:pPr>
    <w:r w:rsidRPr="009A6533">
      <w:rPr>
        <w:b/>
      </w:rPr>
      <w:t>Tilsynsvejledning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1553"/>
    <w:multiLevelType w:val="hybridMultilevel"/>
    <w:tmpl w:val="6D327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F57DE"/>
    <w:multiLevelType w:val="multilevel"/>
    <w:tmpl w:val="F75C0F5C"/>
    <w:lvl w:ilvl="0">
      <w:start w:val="1"/>
      <w:numFmt w:val="upperLetter"/>
      <w:pStyle w:val="Heading1-NumberedA"/>
      <w:lvlText w:val="%1."/>
      <w:lvlJc w:val="right"/>
      <w:pPr>
        <w:ind w:left="0" w:hanging="227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hanging="227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27"/>
      </w:pPr>
      <w:rPr>
        <w:rFonts w:hint="default"/>
      </w:rPr>
    </w:lvl>
  </w:abstractNum>
  <w:abstractNum w:abstractNumId="2" w15:restartNumberingAfterBreak="0">
    <w:nsid w:val="06AA6625"/>
    <w:multiLevelType w:val="hybridMultilevel"/>
    <w:tmpl w:val="BD06193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723DD"/>
    <w:multiLevelType w:val="hybridMultilevel"/>
    <w:tmpl w:val="16C01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6860"/>
    <w:multiLevelType w:val="hybridMultilevel"/>
    <w:tmpl w:val="DCB6BD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555FB"/>
    <w:multiLevelType w:val="hybridMultilevel"/>
    <w:tmpl w:val="A18056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844C6"/>
    <w:multiLevelType w:val="multilevel"/>
    <w:tmpl w:val="7722DF02"/>
    <w:lvl w:ilvl="0">
      <w:start w:val="1"/>
      <w:numFmt w:val="decimal"/>
      <w:lvlText w:val="%1"/>
      <w:lvlJc w:val="right"/>
      <w:pPr>
        <w:ind w:left="0" w:hanging="227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27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27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27"/>
      </w:pPr>
      <w:rPr>
        <w:rFonts w:hint="default"/>
      </w:rPr>
    </w:lvl>
    <w:lvl w:ilvl="4">
      <w:start w:val="1"/>
      <w:numFmt w:val="decimal"/>
      <w:lvlText w:val="%1.%2.%3.%4.%5"/>
      <w:lvlJc w:val="right"/>
      <w:pPr>
        <w:ind w:left="0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4"/>
        </w:tabs>
        <w:ind w:left="0" w:hanging="22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4"/>
        </w:tabs>
        <w:ind w:left="0" w:hanging="227"/>
      </w:pPr>
      <w:rPr>
        <w:rFonts w:hint="default"/>
      </w:rPr>
    </w:lvl>
  </w:abstractNum>
  <w:abstractNum w:abstractNumId="7" w15:restartNumberingAfterBreak="0">
    <w:nsid w:val="516C69F2"/>
    <w:multiLevelType w:val="hybridMultilevel"/>
    <w:tmpl w:val="6904282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C33A30"/>
    <w:multiLevelType w:val="hybridMultilevel"/>
    <w:tmpl w:val="F83838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01EB7"/>
    <w:multiLevelType w:val="hybridMultilevel"/>
    <w:tmpl w:val="2F2AD5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35DAF"/>
    <w:multiLevelType w:val="hybridMultilevel"/>
    <w:tmpl w:val="E5B625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249D6"/>
    <w:multiLevelType w:val="hybridMultilevel"/>
    <w:tmpl w:val="D8F020A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1"/>
  </w:num>
  <w:num w:numId="5">
    <w:abstractNumId w:val="1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</w:num>
  <w:num w:numId="13">
    <w:abstractNumId w:val="1"/>
  </w:num>
  <w:num w:numId="14">
    <w:abstractNumId w:val="2"/>
  </w:num>
  <w:num w:numId="15">
    <w:abstractNumId w:val="8"/>
  </w:num>
  <w:num w:numId="16">
    <w:abstractNumId w:val="4"/>
  </w:num>
  <w:num w:numId="17">
    <w:abstractNumId w:val="9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3C"/>
    <w:rsid w:val="000100EB"/>
    <w:rsid w:val="0002202F"/>
    <w:rsid w:val="00030A70"/>
    <w:rsid w:val="00036668"/>
    <w:rsid w:val="0004285E"/>
    <w:rsid w:val="00055E83"/>
    <w:rsid w:val="000700F1"/>
    <w:rsid w:val="000763C4"/>
    <w:rsid w:val="00076B49"/>
    <w:rsid w:val="000C0CE6"/>
    <w:rsid w:val="000D01D7"/>
    <w:rsid w:val="00124726"/>
    <w:rsid w:val="00160D23"/>
    <w:rsid w:val="001804E3"/>
    <w:rsid w:val="001967AC"/>
    <w:rsid w:val="001A078F"/>
    <w:rsid w:val="001B3682"/>
    <w:rsid w:val="001C15E8"/>
    <w:rsid w:val="001C199B"/>
    <w:rsid w:val="001C1BC3"/>
    <w:rsid w:val="001F055D"/>
    <w:rsid w:val="00257A87"/>
    <w:rsid w:val="002B5FD4"/>
    <w:rsid w:val="00302044"/>
    <w:rsid w:val="00316057"/>
    <w:rsid w:val="00352F7F"/>
    <w:rsid w:val="003659CA"/>
    <w:rsid w:val="0039578E"/>
    <w:rsid w:val="003B0A6D"/>
    <w:rsid w:val="003D23F3"/>
    <w:rsid w:val="003D5EB5"/>
    <w:rsid w:val="00433502"/>
    <w:rsid w:val="0043607C"/>
    <w:rsid w:val="00457B34"/>
    <w:rsid w:val="00474E96"/>
    <w:rsid w:val="00487E8C"/>
    <w:rsid w:val="004900FA"/>
    <w:rsid w:val="00493E3D"/>
    <w:rsid w:val="004A585B"/>
    <w:rsid w:val="004A5A7C"/>
    <w:rsid w:val="004B61B4"/>
    <w:rsid w:val="004D60FB"/>
    <w:rsid w:val="004E0083"/>
    <w:rsid w:val="0052163A"/>
    <w:rsid w:val="0052799D"/>
    <w:rsid w:val="005B20AC"/>
    <w:rsid w:val="005B6E24"/>
    <w:rsid w:val="005C1514"/>
    <w:rsid w:val="005F3F84"/>
    <w:rsid w:val="0062211D"/>
    <w:rsid w:val="0063057A"/>
    <w:rsid w:val="00651845"/>
    <w:rsid w:val="00663516"/>
    <w:rsid w:val="006806BC"/>
    <w:rsid w:val="006B5108"/>
    <w:rsid w:val="006B565E"/>
    <w:rsid w:val="006C355A"/>
    <w:rsid w:val="006C7C9E"/>
    <w:rsid w:val="006F032C"/>
    <w:rsid w:val="007016B4"/>
    <w:rsid w:val="007271B8"/>
    <w:rsid w:val="00752B75"/>
    <w:rsid w:val="00761B10"/>
    <w:rsid w:val="00781725"/>
    <w:rsid w:val="007919C4"/>
    <w:rsid w:val="00796AA2"/>
    <w:rsid w:val="007A6AAF"/>
    <w:rsid w:val="007C2886"/>
    <w:rsid w:val="007D29DE"/>
    <w:rsid w:val="007D4281"/>
    <w:rsid w:val="007F04A3"/>
    <w:rsid w:val="0082424F"/>
    <w:rsid w:val="0083795B"/>
    <w:rsid w:val="00847FEF"/>
    <w:rsid w:val="00856C29"/>
    <w:rsid w:val="00876E7B"/>
    <w:rsid w:val="00884579"/>
    <w:rsid w:val="008A5917"/>
    <w:rsid w:val="008B607B"/>
    <w:rsid w:val="008D6C8B"/>
    <w:rsid w:val="008E27CA"/>
    <w:rsid w:val="008E5F59"/>
    <w:rsid w:val="008F0AFB"/>
    <w:rsid w:val="008F1110"/>
    <w:rsid w:val="008F49AF"/>
    <w:rsid w:val="00947061"/>
    <w:rsid w:val="009512F8"/>
    <w:rsid w:val="00952076"/>
    <w:rsid w:val="009920BA"/>
    <w:rsid w:val="009A370B"/>
    <w:rsid w:val="009A6533"/>
    <w:rsid w:val="009B7144"/>
    <w:rsid w:val="009C365D"/>
    <w:rsid w:val="00A108B7"/>
    <w:rsid w:val="00A23CF6"/>
    <w:rsid w:val="00A42989"/>
    <w:rsid w:val="00A519CF"/>
    <w:rsid w:val="00A64756"/>
    <w:rsid w:val="00A7206E"/>
    <w:rsid w:val="00A96C7F"/>
    <w:rsid w:val="00AA0C78"/>
    <w:rsid w:val="00AA383C"/>
    <w:rsid w:val="00AB1A99"/>
    <w:rsid w:val="00AC270E"/>
    <w:rsid w:val="00AD6D79"/>
    <w:rsid w:val="00AE11BC"/>
    <w:rsid w:val="00AF5F72"/>
    <w:rsid w:val="00B426D6"/>
    <w:rsid w:val="00B651E5"/>
    <w:rsid w:val="00B7729F"/>
    <w:rsid w:val="00B96B20"/>
    <w:rsid w:val="00C06F6F"/>
    <w:rsid w:val="00C34593"/>
    <w:rsid w:val="00C353F3"/>
    <w:rsid w:val="00C367EF"/>
    <w:rsid w:val="00C45FBE"/>
    <w:rsid w:val="00C57C36"/>
    <w:rsid w:val="00C57DF9"/>
    <w:rsid w:val="00C704AB"/>
    <w:rsid w:val="00CA1E27"/>
    <w:rsid w:val="00CB4460"/>
    <w:rsid w:val="00CC0C75"/>
    <w:rsid w:val="00CF4D43"/>
    <w:rsid w:val="00CF6B3F"/>
    <w:rsid w:val="00D03B3E"/>
    <w:rsid w:val="00D225A9"/>
    <w:rsid w:val="00D4317B"/>
    <w:rsid w:val="00D519CC"/>
    <w:rsid w:val="00D54309"/>
    <w:rsid w:val="00D8554F"/>
    <w:rsid w:val="00D96F05"/>
    <w:rsid w:val="00DA7A8F"/>
    <w:rsid w:val="00DB3901"/>
    <w:rsid w:val="00DB46F9"/>
    <w:rsid w:val="00DC4D44"/>
    <w:rsid w:val="00DD2B16"/>
    <w:rsid w:val="00DD665D"/>
    <w:rsid w:val="00DF60AC"/>
    <w:rsid w:val="00E12085"/>
    <w:rsid w:val="00E168E4"/>
    <w:rsid w:val="00E20491"/>
    <w:rsid w:val="00E23FCB"/>
    <w:rsid w:val="00E4128F"/>
    <w:rsid w:val="00E60973"/>
    <w:rsid w:val="00E775FD"/>
    <w:rsid w:val="00E77ABF"/>
    <w:rsid w:val="00E9224A"/>
    <w:rsid w:val="00E94A50"/>
    <w:rsid w:val="00EC68F2"/>
    <w:rsid w:val="00ED4FD5"/>
    <w:rsid w:val="00F10F30"/>
    <w:rsid w:val="00F14089"/>
    <w:rsid w:val="00F50CAC"/>
    <w:rsid w:val="00F63BF9"/>
    <w:rsid w:val="00F73D8F"/>
    <w:rsid w:val="00F81F23"/>
    <w:rsid w:val="00FF2BB3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4DDB7E"/>
  <w15:chartTrackingRefBased/>
  <w15:docId w15:val="{5A1496ED-AE47-4E45-9E2D-DBCD9725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da-DK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C8B"/>
  </w:style>
  <w:style w:type="paragraph" w:styleId="Heading1">
    <w:name w:val="heading 1"/>
    <w:basedOn w:val="Normal"/>
    <w:next w:val="Normal"/>
    <w:link w:val="Heading1Char"/>
    <w:uiPriority w:val="9"/>
    <w:qFormat/>
    <w:rsid w:val="008D6C8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C8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C8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C8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6C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83C"/>
  </w:style>
  <w:style w:type="paragraph" w:styleId="Footer">
    <w:name w:val="footer"/>
    <w:basedOn w:val="Normal"/>
    <w:link w:val="FooterChar"/>
    <w:uiPriority w:val="99"/>
    <w:unhideWhenUsed/>
    <w:rsid w:val="00AA3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83C"/>
  </w:style>
  <w:style w:type="paragraph" w:styleId="ListParagraph">
    <w:name w:val="List Paragraph"/>
    <w:basedOn w:val="Normal"/>
    <w:uiPriority w:val="34"/>
    <w:qFormat/>
    <w:rsid w:val="00A7206E"/>
    <w:pPr>
      <w:ind w:left="720"/>
      <w:contextualSpacing/>
    </w:pPr>
  </w:style>
  <w:style w:type="paragraph" w:customStyle="1" w:styleId="NirasHeaderFooter">
    <w:name w:val="NirasHeaderFooter"/>
    <w:basedOn w:val="Normal"/>
    <w:uiPriority w:val="99"/>
    <w:semiHidden/>
    <w:rsid w:val="008D6C8B"/>
    <w:pPr>
      <w:spacing w:line="230" w:lineRule="exact"/>
    </w:pPr>
    <w:rPr>
      <w:sz w:val="12"/>
      <w:szCs w:val="12"/>
    </w:rPr>
  </w:style>
  <w:style w:type="paragraph" w:customStyle="1" w:styleId="Quote-Text">
    <w:name w:val="Quote - Text"/>
    <w:basedOn w:val="Normal"/>
    <w:uiPriority w:val="29"/>
    <w:rsid w:val="008D6C8B"/>
    <w:pPr>
      <w:spacing w:after="0" w:line="480" w:lineRule="atLeast"/>
    </w:pPr>
    <w:rPr>
      <w:rFonts w:ascii="Palatino Linotype" w:hAnsi="Palatino Linotype"/>
      <w:color w:val="4472C4" w:themeColor="accent5"/>
      <w:sz w:val="42"/>
    </w:rPr>
  </w:style>
  <w:style w:type="paragraph" w:customStyle="1" w:styleId="Appendix-Heading1">
    <w:name w:val="Appendix - Heading 1"/>
    <w:basedOn w:val="Normal"/>
    <w:uiPriority w:val="2"/>
    <w:rsid w:val="008D6C8B"/>
    <w:pPr>
      <w:spacing w:before="260" w:after="0" w:line="360" w:lineRule="atLeast"/>
    </w:pPr>
    <w:rPr>
      <w:rFonts w:asciiTheme="majorHAnsi" w:hAnsiTheme="majorHAnsi"/>
      <w:b/>
      <w:sz w:val="28"/>
    </w:rPr>
  </w:style>
  <w:style w:type="paragraph" w:customStyle="1" w:styleId="TocLIne">
    <w:name w:val="TocLIne"/>
    <w:basedOn w:val="Normal"/>
    <w:semiHidden/>
    <w:rsid w:val="008D6C8B"/>
    <w:pPr>
      <w:spacing w:before="240" w:after="180"/>
    </w:pPr>
  </w:style>
  <w:style w:type="paragraph" w:customStyle="1" w:styleId="Appendix-Heading2">
    <w:name w:val="Appendix - Heading 2"/>
    <w:basedOn w:val="Normal"/>
    <w:uiPriority w:val="2"/>
    <w:rsid w:val="008D6C8B"/>
    <w:pPr>
      <w:spacing w:before="260" w:after="0" w:line="320" w:lineRule="atLeast"/>
    </w:pPr>
    <w:rPr>
      <w:rFonts w:asciiTheme="majorHAnsi" w:hAnsiTheme="majorHAnsi"/>
      <w:b/>
      <w:sz w:val="24"/>
    </w:rPr>
  </w:style>
  <w:style w:type="paragraph" w:customStyle="1" w:styleId="DocumentHeading">
    <w:name w:val="Document Heading"/>
    <w:basedOn w:val="Normal"/>
    <w:semiHidden/>
    <w:rsid w:val="008D6C8B"/>
    <w:pPr>
      <w:framePr w:hSpace="142" w:wrap="around" w:hAnchor="margin" w:xAlign="right" w:yAlign="bottom"/>
      <w:spacing w:after="0" w:line="1100" w:lineRule="atLeast"/>
      <w:ind w:left="28" w:right="28"/>
      <w:suppressOverlap/>
      <w:jc w:val="right"/>
    </w:pPr>
    <w:rPr>
      <w:noProof/>
      <w:color w:val="4472C4" w:themeColor="accent5"/>
      <w:sz w:val="88"/>
      <w:lang w:eastAsia="da-DK"/>
    </w:rPr>
  </w:style>
  <w:style w:type="paragraph" w:customStyle="1" w:styleId="DocumentSubheading">
    <w:name w:val="Document Subheading"/>
    <w:basedOn w:val="DocumentHeading"/>
    <w:semiHidden/>
    <w:rsid w:val="008D6C8B"/>
    <w:pPr>
      <w:framePr w:wrap="around"/>
      <w:spacing w:before="80" w:after="80" w:line="300" w:lineRule="atLeast"/>
      <w:contextualSpacing/>
    </w:pPr>
    <w:rPr>
      <w:rFonts w:ascii="Palatino Linotype" w:hAnsi="Palatino Linotype"/>
      <w:color w:val="000000"/>
      <w:sz w:val="26"/>
    </w:rPr>
  </w:style>
  <w:style w:type="paragraph" w:customStyle="1" w:styleId="Client">
    <w:name w:val="Client"/>
    <w:basedOn w:val="DocumentSubheading"/>
    <w:semiHidden/>
    <w:rsid w:val="008D6C8B"/>
    <w:pPr>
      <w:framePr w:wrap="around"/>
      <w:spacing w:before="70" w:after="70" w:line="60" w:lineRule="atLeast"/>
    </w:pPr>
    <w:rPr>
      <w:rFonts w:ascii="Verdana" w:hAnsi="Verdana"/>
      <w:b/>
      <w:caps/>
      <w:sz w:val="14"/>
    </w:rPr>
  </w:style>
  <w:style w:type="paragraph" w:customStyle="1" w:styleId="CallOutText">
    <w:name w:val="CallOut Text"/>
    <w:basedOn w:val="Normal"/>
    <w:uiPriority w:val="99"/>
    <w:semiHidden/>
    <w:rsid w:val="008D6C8B"/>
    <w:pPr>
      <w:framePr w:w="2155" w:wrap="around" w:vAnchor="text" w:hAnchor="page" w:x="1135" w:y="1"/>
    </w:pPr>
    <w:rPr>
      <w:i/>
    </w:rPr>
  </w:style>
  <w:style w:type="paragraph" w:customStyle="1" w:styleId="Niras-Caption">
    <w:name w:val="Niras - Caption"/>
    <w:basedOn w:val="CallOutText"/>
    <w:uiPriority w:val="99"/>
    <w:rsid w:val="008D6C8B"/>
    <w:pPr>
      <w:framePr w:wrap="around"/>
    </w:pPr>
    <w:rPr>
      <w:sz w:val="14"/>
    </w:rPr>
  </w:style>
  <w:style w:type="paragraph" w:customStyle="1" w:styleId="Footer-Date">
    <w:name w:val="Footer - Date"/>
    <w:basedOn w:val="Normal"/>
    <w:uiPriority w:val="99"/>
    <w:semiHidden/>
    <w:rsid w:val="008D6C8B"/>
    <w:pPr>
      <w:spacing w:after="0" w:line="150" w:lineRule="atLeast"/>
      <w:jc w:val="right"/>
    </w:pPr>
    <w:rPr>
      <w:rFonts w:ascii="Arial" w:hAnsi="Arial"/>
      <w:sz w:val="12"/>
    </w:rPr>
  </w:style>
  <w:style w:type="paragraph" w:customStyle="1" w:styleId="Appendix-Heading3">
    <w:name w:val="Appendix - Heading 3"/>
    <w:basedOn w:val="Normal"/>
    <w:uiPriority w:val="2"/>
    <w:rsid w:val="008D6C8B"/>
    <w:pPr>
      <w:spacing w:before="260" w:after="0" w:line="280" w:lineRule="atLeast"/>
    </w:pPr>
    <w:rPr>
      <w:rFonts w:asciiTheme="majorHAnsi" w:hAnsiTheme="majorHAnsi"/>
      <w:b/>
      <w:sz w:val="20"/>
    </w:rPr>
  </w:style>
  <w:style w:type="paragraph" w:customStyle="1" w:styleId="Appendix-Heading4">
    <w:name w:val="Appendix - Heading 4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i/>
    </w:rPr>
  </w:style>
  <w:style w:type="paragraph" w:customStyle="1" w:styleId="Appendix-Heading5">
    <w:name w:val="Appendix - Heading 5"/>
    <w:basedOn w:val="Normal"/>
    <w:uiPriority w:val="2"/>
    <w:rsid w:val="008D6C8B"/>
    <w:pPr>
      <w:spacing w:before="260" w:after="0" w:line="260" w:lineRule="atLeast"/>
    </w:pPr>
    <w:rPr>
      <w:rFonts w:asciiTheme="majorHAnsi" w:hAnsiTheme="majorHAnsi"/>
      <w:b/>
    </w:rPr>
  </w:style>
  <w:style w:type="paragraph" w:customStyle="1" w:styleId="Niras-CallOutText">
    <w:name w:val="Niras - CallOut Text"/>
    <w:basedOn w:val="Normal"/>
    <w:rsid w:val="008D6C8B"/>
    <w:pPr>
      <w:framePr w:w="2155" w:wrap="around" w:vAnchor="text" w:hAnchor="page" w:x="1135" w:y="1"/>
      <w:spacing w:line="180" w:lineRule="atLeast"/>
    </w:pPr>
    <w:rPr>
      <w:i/>
      <w:sz w:val="14"/>
    </w:rPr>
  </w:style>
  <w:style w:type="paragraph" w:customStyle="1" w:styleId="TOCHeadingsmall">
    <w:name w:val="TOC Heading small"/>
    <w:basedOn w:val="TOCHeadinglarge"/>
    <w:link w:val="TOCHeadingsmallChar"/>
    <w:semiHidden/>
    <w:rsid w:val="008D6C8B"/>
    <w:rPr>
      <w:sz w:val="28"/>
      <w:szCs w:val="28"/>
    </w:rPr>
  </w:style>
  <w:style w:type="character" w:customStyle="1" w:styleId="TOCHeadingsmallChar">
    <w:name w:val="TOC Heading small Char"/>
    <w:basedOn w:val="TOCHeadinglargeChar"/>
    <w:link w:val="TOCHeadingsmall"/>
    <w:semiHidden/>
    <w:rsid w:val="008D6C8B"/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customStyle="1" w:styleId="TOCHeadinglarge">
    <w:name w:val="TOC Heading large"/>
    <w:basedOn w:val="Normal"/>
    <w:link w:val="TOCHeadinglargeChar"/>
    <w:semiHidden/>
    <w:rsid w:val="008D6C8B"/>
    <w:pPr>
      <w:keepNext/>
      <w:keepLines/>
      <w:spacing w:after="0" w:line="320" w:lineRule="atLeast"/>
    </w:pPr>
    <w:rPr>
      <w:rFonts w:asciiTheme="majorHAnsi" w:eastAsiaTheme="majorEastAsia" w:hAnsiTheme="majorHAnsi" w:cstheme="majorBidi"/>
      <w:color w:val="000000"/>
      <w:sz w:val="70"/>
      <w:szCs w:val="70"/>
    </w:rPr>
  </w:style>
  <w:style w:type="character" w:customStyle="1" w:styleId="TOCHeadinglargeChar">
    <w:name w:val="TOC Heading large Char"/>
    <w:basedOn w:val="DefaultParagraphFont"/>
    <w:link w:val="TOCHeadinglarge"/>
    <w:semiHidden/>
    <w:rsid w:val="008D6C8B"/>
    <w:rPr>
      <w:rFonts w:asciiTheme="majorHAnsi" w:eastAsiaTheme="majorEastAsia" w:hAnsiTheme="majorHAnsi" w:cstheme="majorBidi"/>
      <w:color w:val="000000"/>
      <w:sz w:val="70"/>
      <w:szCs w:val="70"/>
    </w:rPr>
  </w:style>
  <w:style w:type="paragraph" w:customStyle="1" w:styleId="Billedtekst1">
    <w:name w:val="Billedtekst1"/>
    <w:basedOn w:val="Normal"/>
    <w:uiPriority w:val="99"/>
    <w:semiHidden/>
    <w:rsid w:val="008D6C8B"/>
    <w:pPr>
      <w:spacing w:after="0"/>
    </w:pPr>
  </w:style>
  <w:style w:type="paragraph" w:customStyle="1" w:styleId="Billedtekst2">
    <w:name w:val="Billedtekst2"/>
    <w:basedOn w:val="Normal"/>
    <w:rsid w:val="008D6C8B"/>
    <w:pPr>
      <w:spacing w:after="0"/>
    </w:pPr>
  </w:style>
  <w:style w:type="paragraph" w:customStyle="1" w:styleId="Heading1-NumberedA">
    <w:name w:val="Heading 1 - Numbered (A)"/>
    <w:basedOn w:val="Heading1"/>
    <w:next w:val="Normal"/>
    <w:uiPriority w:val="2"/>
    <w:rsid w:val="008D6C8B"/>
    <w:pPr>
      <w:numPr>
        <w:numId w:val="13"/>
      </w:numPr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customStyle="1" w:styleId="Heading2-NumberedA">
    <w:name w:val="Heading 2 - Numbered (A)"/>
    <w:basedOn w:val="Heading2"/>
    <w:next w:val="Normal"/>
    <w:uiPriority w:val="2"/>
    <w:rsid w:val="008D6C8B"/>
    <w:pPr>
      <w:outlineLvl w:val="8"/>
    </w:pPr>
  </w:style>
  <w:style w:type="character" w:customStyle="1" w:styleId="Heading2Char">
    <w:name w:val="Heading 2 Char"/>
    <w:basedOn w:val="DefaultParagraphFont"/>
    <w:link w:val="Heading2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customStyle="1" w:styleId="Heading3-NumberedA">
    <w:name w:val="Heading 3 - Numbered (A)"/>
    <w:basedOn w:val="Heading3"/>
    <w:next w:val="Normal"/>
    <w:uiPriority w:val="2"/>
    <w:rsid w:val="008D6C8B"/>
    <w:pPr>
      <w:outlineLvl w:val="8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D6C8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D6C8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6C8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C8B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pacing">
    <w:name w:val="No Spacing"/>
    <w:uiPriority w:val="1"/>
    <w:qFormat/>
    <w:rsid w:val="008D6C8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8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8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8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8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C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D6C8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8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D6C8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D6C8B"/>
    <w:rPr>
      <w:b/>
      <w:bCs/>
    </w:rPr>
  </w:style>
  <w:style w:type="character" w:styleId="Emphasis">
    <w:name w:val="Emphasis"/>
    <w:basedOn w:val="DefaultParagraphFont"/>
    <w:uiPriority w:val="20"/>
    <w:qFormat/>
    <w:rsid w:val="008D6C8B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8D6C8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D6C8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8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8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6C8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D6C8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6C8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D6C8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D6C8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C8B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51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8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4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D273A-EE93-48A2-9C9C-3ECF05B3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358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NIRAS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Viggo Andersen (OVA)</dc:creator>
  <cp:keywords/>
  <dc:description/>
  <cp:lastModifiedBy>Lene Tørnæs Helbo</cp:lastModifiedBy>
  <cp:revision>8</cp:revision>
  <cp:lastPrinted>2019-10-05T20:07:00Z</cp:lastPrinted>
  <dcterms:created xsi:type="dcterms:W3CDTF">2019-09-02T11:03:00Z</dcterms:created>
  <dcterms:modified xsi:type="dcterms:W3CDTF">2019-12-20T08:55:00Z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Remapped">
    <vt:lpwstr>true</vt:lpwstr>
  </property>
</Properties>
</file>