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F50CAC" w14:paraId="538FC6D5" w14:textId="77777777" w:rsidTr="00D03B3E">
        <w:trPr>
          <w:trHeight w:val="26"/>
        </w:trPr>
        <w:tc>
          <w:tcPr>
            <w:tcW w:w="196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E3D48E2" w14:textId="6C851969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021CB7C" w14:textId="2C06C8D5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CB3AA0F" w14:textId="2F5E1265" w:rsidR="00F50CAC" w:rsidRPr="00ED4FD5" w:rsidRDefault="00F50CAC" w:rsidP="00F50CAC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F50CAC" w14:paraId="5FBDC678" w14:textId="77777777" w:rsidTr="00865F88">
        <w:trPr>
          <w:trHeight w:val="26"/>
        </w:trPr>
        <w:tc>
          <w:tcPr>
            <w:tcW w:w="961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E990766" w14:textId="77777777" w:rsidR="00F50CAC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 w:rsidRPr="00ED4FD5">
              <w:rPr>
                <w:b/>
              </w:rPr>
              <w:t>Overdragelse af betonoverfladen</w:t>
            </w:r>
          </w:p>
        </w:tc>
      </w:tr>
      <w:tr w:rsidR="00F50CAC" w:rsidRPr="0065124A" w14:paraId="6D14F9C7" w14:textId="77777777" w:rsidTr="00865F88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173" w14:textId="076AF6C9" w:rsidR="00F50CAC" w:rsidRPr="00E12085" w:rsidRDefault="00F50CAC" w:rsidP="00865F88">
            <w:pPr>
              <w:keepNext/>
              <w:spacing w:line="240" w:lineRule="auto"/>
              <w:rPr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Overdragelse af beton</w:t>
            </w:r>
            <w:r w:rsidR="0094563F">
              <w:rPr>
                <w:b/>
                <w:sz w:val="16"/>
                <w:szCs w:val="16"/>
              </w:rPr>
              <w:softHyphen/>
            </w:r>
            <w:r w:rsidRPr="00D519CC">
              <w:rPr>
                <w:b/>
                <w:sz w:val="16"/>
                <w:szCs w:val="16"/>
              </w:rPr>
              <w:t>over</w:t>
            </w:r>
            <w:r w:rsidR="0094563F">
              <w:rPr>
                <w:b/>
                <w:sz w:val="16"/>
                <w:szCs w:val="16"/>
              </w:rPr>
              <w:softHyphen/>
            </w:r>
            <w:r w:rsidRPr="00D519CC">
              <w:rPr>
                <w:b/>
                <w:sz w:val="16"/>
                <w:szCs w:val="16"/>
              </w:rPr>
              <w:t xml:space="preserve">fladen imellem </w:t>
            </w:r>
            <w:proofErr w:type="gramStart"/>
            <w:r w:rsidRPr="00D519CC">
              <w:rPr>
                <w:b/>
                <w:sz w:val="16"/>
                <w:szCs w:val="16"/>
              </w:rPr>
              <w:t>beton/grunder/membran entreprenør</w:t>
            </w:r>
            <w:proofErr w:type="gramEnd"/>
            <w:r w:rsidRPr="00D519CC">
              <w:rPr>
                <w:b/>
                <w:sz w:val="16"/>
                <w:szCs w:val="16"/>
              </w:rPr>
              <w:t xml:space="preserve">: </w:t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</w:r>
            <w:r w:rsidR="00FF2BB3">
              <w:rPr>
                <w:b/>
                <w:sz w:val="16"/>
                <w:szCs w:val="16"/>
              </w:rPr>
              <w:br/>
              <w:t>Note: "</w:t>
            </w:r>
            <w:r w:rsidR="00FF2BB3">
              <w:rPr>
                <w:sz w:val="16"/>
                <w:szCs w:val="16"/>
              </w:rPr>
              <w:t>Entreprenører" kan dække over ét firma, men der kan være op til 4 involverede: fjernelse af gammel belægning og fræsning / betonopretning / grunder / fugtisolering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D2D1" w14:textId="77777777" w:rsidR="00F50CAC" w:rsidRPr="0065124A" w:rsidRDefault="00F50CAC" w:rsidP="00865F88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24B95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 w:rsidRPr="00E168E4">
              <w:rPr>
                <w:sz w:val="16"/>
                <w:szCs w:val="16"/>
              </w:rPr>
              <w:t>Tjek af faldforhold</w:t>
            </w:r>
            <w:r>
              <w:rPr>
                <w:sz w:val="16"/>
                <w:szCs w:val="16"/>
              </w:rPr>
              <w:t>:</w:t>
            </w:r>
          </w:p>
          <w:p w14:paraId="405A5AB0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555D752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29324646" w14:textId="0E59156C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 w:rsidRPr="0024751F">
              <w:rPr>
                <w:sz w:val="16"/>
                <w:szCs w:val="16"/>
              </w:rPr>
              <w:t xml:space="preserve">Tjek af </w:t>
            </w:r>
            <w:r>
              <w:rPr>
                <w:sz w:val="16"/>
                <w:szCs w:val="16"/>
              </w:rPr>
              <w:t>betonoverflade – generelt (inkl. vedhæftningstest</w:t>
            </w:r>
            <w:r w:rsidR="00FF2BB3">
              <w:rPr>
                <w:sz w:val="16"/>
                <w:szCs w:val="16"/>
              </w:rPr>
              <w:t xml:space="preserve"> af udførte betonreparationer, </w:t>
            </w:r>
            <w:proofErr w:type="spellStart"/>
            <w:r w:rsidR="00FF2BB3">
              <w:rPr>
                <w:sz w:val="16"/>
                <w:szCs w:val="16"/>
              </w:rPr>
              <w:t>skrabespartling</w:t>
            </w:r>
            <w:proofErr w:type="spellEnd"/>
            <w:r w:rsidR="00FF2BB3">
              <w:rPr>
                <w:sz w:val="16"/>
                <w:szCs w:val="16"/>
              </w:rPr>
              <w:t>, osv.</w:t>
            </w:r>
            <w:r>
              <w:rPr>
                <w:sz w:val="16"/>
                <w:szCs w:val="16"/>
              </w:rPr>
              <w:t>):</w:t>
            </w:r>
          </w:p>
          <w:p w14:paraId="08BEAAF9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15B1C722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031316D" w14:textId="2D8A2675" w:rsidR="00F50CAC" w:rsidRDefault="00F50CAC" w:rsidP="0052799D">
            <w:pPr>
              <w:keepNext/>
              <w:spacing w:after="0" w:line="250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 der enighed om overdragelse mellem </w:t>
            </w:r>
            <w:r w:rsidR="00FF2BB3">
              <w:rPr>
                <w:sz w:val="16"/>
                <w:szCs w:val="16"/>
              </w:rPr>
              <w:t>a) beton/</w:t>
            </w:r>
            <w:proofErr w:type="spellStart"/>
            <w:r w:rsidR="00FF2BB3">
              <w:rPr>
                <w:sz w:val="16"/>
                <w:szCs w:val="16"/>
              </w:rPr>
              <w:t>betonrep</w:t>
            </w:r>
            <w:proofErr w:type="spellEnd"/>
            <w:r w:rsidR="00FF2BB3">
              <w:rPr>
                <w:sz w:val="16"/>
                <w:szCs w:val="16"/>
              </w:rPr>
              <w:t xml:space="preserve">. entreprenører, </w:t>
            </w:r>
            <w:r w:rsidR="0094563F">
              <w:rPr>
                <w:sz w:val="16"/>
                <w:szCs w:val="16"/>
              </w:rPr>
              <w:br/>
            </w:r>
            <w:r w:rsidR="00FF2BB3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>beton/grunder</w:t>
            </w:r>
            <w:r w:rsidR="00FF2BB3">
              <w:rPr>
                <w:sz w:val="16"/>
                <w:szCs w:val="16"/>
              </w:rPr>
              <w:t>, c) grunder</w:t>
            </w:r>
            <w:r>
              <w:rPr>
                <w:sz w:val="16"/>
                <w:szCs w:val="16"/>
              </w:rPr>
              <w:t>/membran entreprenør:</w:t>
            </w:r>
          </w:p>
          <w:p w14:paraId="5A4206C7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320AD483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648785B9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Hvis ikke angiv / beskrivelse af årsag:</w:t>
            </w:r>
          </w:p>
          <w:p w14:paraId="3E21E5C5" w14:textId="77777777" w:rsidR="00F50CAC" w:rsidRDefault="00F50CAC" w:rsidP="00865F88">
            <w:pPr>
              <w:keepNext/>
              <w:spacing w:after="0" w:line="250" w:lineRule="exact"/>
              <w:ind w:left="360"/>
              <w:jc w:val="both"/>
              <w:rPr>
                <w:sz w:val="16"/>
                <w:szCs w:val="16"/>
              </w:rPr>
            </w:pPr>
          </w:p>
          <w:p w14:paraId="35788F0F" w14:textId="77777777" w:rsidR="00F50CAC" w:rsidRPr="0065124A" w:rsidRDefault="00F50CAC" w:rsidP="00865F88">
            <w:pPr>
              <w:keepNext/>
              <w:spacing w:after="0" w:line="250" w:lineRule="exact"/>
              <w:ind w:left="360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519CC" w14:paraId="7055E76D" w14:textId="77777777" w:rsidTr="00865F88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EAD1045" w14:textId="77777777" w:rsidR="00D519CC" w:rsidRDefault="00D519CC" w:rsidP="00865F88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Klargøring af betonoverfladen</w:t>
            </w:r>
          </w:p>
        </w:tc>
      </w:tr>
      <w:tr w:rsidR="00D519CC" w:rsidRPr="0065124A" w14:paraId="05871E4A" w14:textId="77777777" w:rsidTr="00865F88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41ED" w14:textId="77777777" w:rsidR="00D519CC" w:rsidRPr="00D519CC" w:rsidRDefault="00D519CC" w:rsidP="00865F88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Klargøring af betonoverflade: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E85B" w14:textId="77777777" w:rsidR="00D519CC" w:rsidRPr="0065124A" w:rsidRDefault="00D519CC" w:rsidP="00865F88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3BAEE" w14:textId="27F21B24" w:rsidR="00D519CC" w:rsidRDefault="00D519CC" w:rsidP="00865F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bemærkninger til udført opretning/afretning af betonoverfladen:</w:t>
            </w:r>
          </w:p>
          <w:p w14:paraId="51180EB8" w14:textId="6D82E5C2" w:rsidR="00160D23" w:rsidRDefault="00160D23" w:rsidP="00865F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Der skal foreligge tegning / skitse som viser hvor der er udført opretning og hvilken type.</w:t>
            </w:r>
            <w:r>
              <w:rPr>
                <w:sz w:val="16"/>
                <w:szCs w:val="16"/>
              </w:rPr>
              <w:br/>
              <w:t xml:space="preserve">         Skitse skal foreligges tilsynet før der for</w:t>
            </w:r>
            <w:r w:rsidR="00D06FB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sættes med grunder</w:t>
            </w:r>
          </w:p>
          <w:p w14:paraId="50D72E6D" w14:textId="41D127E7" w:rsidR="00D519CC" w:rsidRDefault="00160D23" w:rsidP="00865F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Aftaler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Hvordan skal der oprettes</w:t>
            </w:r>
            <w:r w:rsidR="00D06FB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  <w:t xml:space="preserve">        af</w:t>
            </w:r>
            <w:r w:rsidR="00D06FBC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ret</w:t>
            </w:r>
            <w:r w:rsidR="00D06FBC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tes</w:t>
            </w:r>
            <w:r w:rsidR="00D06FB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så entreprenør</w:t>
            </w:r>
            <w:r w:rsidR="00D06FBC">
              <w:rPr>
                <w:sz w:val="16"/>
                <w:szCs w:val="16"/>
              </w:rPr>
              <w:t>en,</w:t>
            </w:r>
            <w:r>
              <w:rPr>
                <w:sz w:val="16"/>
                <w:szCs w:val="16"/>
              </w:rPr>
              <w:t xml:space="preserve"> der udfører grunder</w:t>
            </w:r>
            <w:r w:rsidR="00D06FB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kan fortsætte</w:t>
            </w:r>
          </w:p>
          <w:p w14:paraId="0E2E0EAC" w14:textId="77777777" w:rsidR="00160D23" w:rsidRDefault="00160D23" w:rsidP="00865F88">
            <w:pPr>
              <w:jc w:val="both"/>
              <w:rPr>
                <w:sz w:val="16"/>
                <w:szCs w:val="16"/>
              </w:rPr>
            </w:pPr>
          </w:p>
          <w:p w14:paraId="6A1CF013" w14:textId="77777777" w:rsidR="00D519CC" w:rsidRDefault="00D519CC" w:rsidP="00865F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bemærkninger til betonoverfladen efter afrensning:</w:t>
            </w:r>
          </w:p>
          <w:p w14:paraId="7F5C15B1" w14:textId="0AB9117A" w:rsidR="00160D23" w:rsidRDefault="00160D23" w:rsidP="00865F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Måske afsnit opdelt efter nye og gamle broer?</w:t>
            </w:r>
          </w:p>
          <w:p w14:paraId="7332F8FE" w14:textId="77777777" w:rsidR="00D519CC" w:rsidRPr="0065124A" w:rsidRDefault="00D519CC" w:rsidP="00865F88">
            <w:pPr>
              <w:jc w:val="both"/>
            </w:pPr>
          </w:p>
        </w:tc>
      </w:tr>
      <w:tr w:rsidR="00B7729F" w:rsidRPr="0065124A" w14:paraId="5EA79E64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729EE4C" w14:textId="037DAA1D" w:rsidR="00B7729F" w:rsidRDefault="00B7729F" w:rsidP="00B7729F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 w:rsidRPr="00B7729F">
              <w:rPr>
                <w:b/>
              </w:rPr>
              <w:t>Vejrligsforanstaltninger:</w:t>
            </w:r>
          </w:p>
        </w:tc>
      </w:tr>
      <w:tr w:rsidR="00ED4FD5" w:rsidRPr="0065124A" w14:paraId="317136A2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0EE2" w14:textId="485557C2" w:rsidR="00ED4FD5" w:rsidRPr="00D519CC" w:rsidRDefault="00ED4FD5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Vejrligsforanstaltninger: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BA62" w14:textId="77777777" w:rsidR="00ED4FD5" w:rsidRPr="0065124A" w:rsidRDefault="00ED4FD5" w:rsidP="00ED4FD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46268" w14:textId="68D2FD80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beregninger </w:t>
            </w:r>
            <w:r w:rsidR="00FF2BB3">
              <w:rPr>
                <w:sz w:val="16"/>
                <w:szCs w:val="16"/>
              </w:rPr>
              <w:t xml:space="preserve">af telt og evt. stillads </w:t>
            </w:r>
            <w:r w:rsidR="00AD6D79">
              <w:rPr>
                <w:sz w:val="16"/>
                <w:szCs w:val="16"/>
              </w:rPr>
              <w:t xml:space="preserve">og </w:t>
            </w:r>
            <w:r w:rsidR="00FF2BB3">
              <w:rPr>
                <w:sz w:val="16"/>
                <w:szCs w:val="16"/>
              </w:rPr>
              <w:t xml:space="preserve">tilhørende </w:t>
            </w:r>
            <w:r w:rsidR="00AD6D79">
              <w:rPr>
                <w:sz w:val="16"/>
                <w:szCs w:val="16"/>
              </w:rPr>
              <w:t xml:space="preserve">dokumentation </w:t>
            </w:r>
            <w:r>
              <w:rPr>
                <w:sz w:val="16"/>
                <w:szCs w:val="16"/>
              </w:rPr>
              <w:t>godkendt:</w:t>
            </w:r>
          </w:p>
          <w:p w14:paraId="74AFCFD9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1E5C3AB2" w14:textId="37A38C18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B772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 opsætning godkendt:</w:t>
            </w:r>
          </w:p>
          <w:p w14:paraId="5AE229FA" w14:textId="17C5AE26" w:rsidR="00ED4FD5" w:rsidRDefault="00ED4FD5" w:rsidP="00ED4FD5">
            <w:pPr>
              <w:rPr>
                <w:sz w:val="16"/>
                <w:szCs w:val="16"/>
              </w:rPr>
            </w:pPr>
          </w:p>
        </w:tc>
      </w:tr>
    </w:tbl>
    <w:p w14:paraId="09EFA103" w14:textId="77777777" w:rsidR="00E12085" w:rsidRDefault="00E12085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E12085" w:rsidRPr="00E168E4" w14:paraId="24445EF5" w14:textId="77777777" w:rsidTr="00E12085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078B12" w14:textId="2E54E55B" w:rsidR="00E12085" w:rsidRPr="00E12085" w:rsidRDefault="00E12085" w:rsidP="00E12085">
            <w:pPr>
              <w:keepNext/>
              <w:spacing w:line="250" w:lineRule="exact"/>
              <w:jc w:val="both"/>
              <w:rPr>
                <w:b/>
                <w:sz w:val="16"/>
                <w:szCs w:val="16"/>
              </w:rPr>
            </w:pPr>
            <w:r w:rsidRPr="00E12085">
              <w:rPr>
                <w:b/>
              </w:rPr>
              <w:lastRenderedPageBreak/>
              <w:t>Tilsynets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EBE8" w14:textId="77777777" w:rsidR="00E12085" w:rsidRPr="00E12085" w:rsidRDefault="00E12085" w:rsidP="00E12085">
            <w:pPr>
              <w:keepNext/>
              <w:spacing w:line="250" w:lineRule="exact"/>
              <w:jc w:val="both"/>
              <w:rPr>
                <w:b/>
              </w:rPr>
            </w:pPr>
            <w:r w:rsidRPr="00E12085">
              <w:rPr>
                <w:b/>
              </w:rPr>
              <w:t>Udført Initialer/Dato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D103B" w14:textId="2B1C80A3" w:rsidR="00E12085" w:rsidRPr="00E12085" w:rsidRDefault="00E12085" w:rsidP="00E12085">
            <w:pPr>
              <w:jc w:val="both"/>
              <w:rPr>
                <w:b/>
              </w:rPr>
            </w:pPr>
            <w:r w:rsidRPr="00E12085">
              <w:rPr>
                <w:b/>
              </w:rPr>
              <w:t xml:space="preserve">        Bemærkning</w:t>
            </w:r>
            <w:r w:rsidRPr="00E12085">
              <w:rPr>
                <w:b/>
              </w:rPr>
              <w:br/>
              <w:t xml:space="preserve">    </w:t>
            </w:r>
            <w:proofErr w:type="gramStart"/>
            <w:r w:rsidRPr="00E12085">
              <w:rPr>
                <w:b/>
              </w:rPr>
              <w:t xml:space="preserve">   (</w:t>
            </w:r>
            <w:proofErr w:type="gramEnd"/>
            <w:r w:rsidRPr="00E12085">
              <w:rPr>
                <w:b/>
              </w:rPr>
              <w:t>fotodokumentation udføres ved alle tilsyn mv.)</w:t>
            </w:r>
          </w:p>
        </w:tc>
      </w:tr>
      <w:tr w:rsidR="00B7729F" w:rsidRPr="0065124A" w14:paraId="446AF02B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BC94BBB" w14:textId="601A7D0E" w:rsidR="00B7729F" w:rsidRDefault="00B7729F" w:rsidP="00B7729F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 w:rsidRPr="00B7729F">
              <w:rPr>
                <w:b/>
              </w:rPr>
              <w:t>Grunding/forsegling:</w:t>
            </w:r>
          </w:p>
        </w:tc>
      </w:tr>
      <w:tr w:rsidR="00ED4FD5" w:rsidRPr="0065124A" w14:paraId="01EB72B1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5EFB" w14:textId="77777777" w:rsidR="00ED4FD5" w:rsidRDefault="00ED4FD5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Grunding/forsegling:</w:t>
            </w:r>
          </w:p>
          <w:p w14:paraId="3E3185A5" w14:textId="77777777" w:rsidR="009A370B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  <w:p w14:paraId="0CE0E934" w14:textId="77777777" w:rsidR="009A370B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  <w:p w14:paraId="2B5F36B3" w14:textId="77777777" w:rsidR="009A370B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  <w:p w14:paraId="2FA572A7" w14:textId="316183DA" w:rsidR="009A370B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Pr="009A370B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Aftræksforsøg skal udføres hvor der er udført opretning af overfladen</w:t>
            </w:r>
          </w:p>
          <w:p w14:paraId="29553F2B" w14:textId="792C3E5E" w:rsidR="009A370B" w:rsidRPr="00D519CC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F874D6">
              <w:rPr>
                <w:b/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>Aftræksforsøg skal markeres på skitse og foreligges tilsynet før isolering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2E03" w14:textId="17A56E1A" w:rsidR="00ED4FD5" w:rsidRPr="0065124A" w:rsidRDefault="00ED4FD5" w:rsidP="00ED4FD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A4CFA" w14:textId="53448E76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hhv. grunder/forsegling jf. AAB's krav:</w:t>
            </w:r>
          </w:p>
          <w:p w14:paraId="1EE42A95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0F5AFA75" w14:textId="4F08A6EC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bemærkninger til udført grunding/forseg</w:t>
            </w:r>
            <w:r w:rsidR="00D519CC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ing:</w:t>
            </w:r>
          </w:p>
          <w:p w14:paraId="6E643B27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2E12DECA" w14:textId="4603FF10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udført aftræksforsøg:</w:t>
            </w:r>
            <w:r w:rsidR="00160D23">
              <w:rPr>
                <w:sz w:val="16"/>
                <w:szCs w:val="16"/>
              </w:rPr>
              <w:br/>
              <w:t xml:space="preserve">          Note: Aftræksforsøg skal udføres hvor der er udført opretning af overfladen</w:t>
            </w:r>
            <w:r w:rsidR="00D06FBC">
              <w:rPr>
                <w:sz w:val="16"/>
                <w:szCs w:val="16"/>
              </w:rPr>
              <w:t>.</w:t>
            </w:r>
          </w:p>
          <w:p w14:paraId="182AA5C5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7C02D142" w14:textId="62305E2A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Var tilsynet til</w:t>
            </w:r>
            <w:r w:rsidR="00D06F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stede ved aftræksforsøg:</w:t>
            </w:r>
            <w:r w:rsidR="00160D23">
              <w:rPr>
                <w:sz w:val="16"/>
                <w:szCs w:val="16"/>
              </w:rPr>
              <w:br/>
              <w:t xml:space="preserve">         Note: Aftræksforsøg skal markeres på skitse og foreligges tilsynet før isolering</w:t>
            </w:r>
            <w:r w:rsidR="00D06FBC">
              <w:rPr>
                <w:sz w:val="16"/>
                <w:szCs w:val="16"/>
              </w:rPr>
              <w:t>.</w:t>
            </w:r>
          </w:p>
          <w:p w14:paraId="0E174790" w14:textId="77777777" w:rsidR="00160D23" w:rsidRDefault="00160D23" w:rsidP="00ED4FD5">
            <w:pPr>
              <w:rPr>
                <w:sz w:val="16"/>
                <w:szCs w:val="16"/>
              </w:rPr>
            </w:pPr>
          </w:p>
          <w:p w14:paraId="2E210FA5" w14:textId="7D794107" w:rsidR="00160D23" w:rsidRDefault="00160D23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Aftaler ved lokal </w:t>
            </w:r>
            <w:proofErr w:type="spellStart"/>
            <w:r>
              <w:rPr>
                <w:sz w:val="16"/>
                <w:szCs w:val="16"/>
              </w:rPr>
              <w:t>skrabespartling</w:t>
            </w:r>
            <w:proofErr w:type="spellEnd"/>
            <w:r>
              <w:rPr>
                <w:sz w:val="16"/>
                <w:szCs w:val="16"/>
              </w:rPr>
              <w:t xml:space="preserve"> – skal godkendes af membranentreprenør</w:t>
            </w:r>
          </w:p>
          <w:p w14:paraId="2FC0961E" w14:textId="35AA8E72" w:rsidR="00160D23" w:rsidRDefault="00160D23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Aftaler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Hvordan skal der oprettes</w:t>
            </w:r>
            <w:r w:rsidR="00D06FB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  <w:t xml:space="preserve">        afrettes</w:t>
            </w:r>
            <w:r w:rsidR="00D06FB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så fugtisoleringsentreprenør</w:t>
            </w:r>
            <w:r w:rsidR="00D06FBC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kan fortsætte</w:t>
            </w:r>
            <w:r w:rsidR="00D06FBC">
              <w:rPr>
                <w:sz w:val="16"/>
                <w:szCs w:val="16"/>
              </w:rPr>
              <w:t>?</w:t>
            </w:r>
          </w:p>
          <w:p w14:paraId="30F6AA2E" w14:textId="452F1E95" w:rsidR="00B7729F" w:rsidRPr="0065124A" w:rsidRDefault="00B7729F" w:rsidP="00ED4FD5"/>
        </w:tc>
      </w:tr>
      <w:tr w:rsidR="00D519CC" w:rsidRPr="0065124A" w14:paraId="36D74A09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8EEA907" w14:textId="0A4BB805" w:rsidR="00D519CC" w:rsidRDefault="00D519CC" w:rsidP="00D519CC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Forprøvning</w:t>
            </w:r>
            <w:proofErr w:type="spellEnd"/>
            <w:r w:rsidRPr="00B7729F">
              <w:rPr>
                <w:b/>
              </w:rPr>
              <w:t>:</w:t>
            </w:r>
          </w:p>
        </w:tc>
      </w:tr>
      <w:tr w:rsidR="00D519CC" w:rsidRPr="0065124A" w14:paraId="302A2648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5BC7" w14:textId="0FA1845B" w:rsidR="00796AA2" w:rsidRDefault="00D519CC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proofErr w:type="spellStart"/>
            <w:r w:rsidRPr="00D519CC">
              <w:rPr>
                <w:b/>
                <w:sz w:val="16"/>
                <w:szCs w:val="16"/>
              </w:rPr>
              <w:t>Forprøvning</w:t>
            </w:r>
            <w:proofErr w:type="spellEnd"/>
            <w:r w:rsidRPr="00D519CC">
              <w:rPr>
                <w:b/>
                <w:sz w:val="16"/>
                <w:szCs w:val="16"/>
              </w:rPr>
              <w:t>:</w:t>
            </w:r>
            <w:r w:rsidR="00160D23">
              <w:rPr>
                <w:b/>
                <w:sz w:val="16"/>
                <w:szCs w:val="16"/>
              </w:rPr>
              <w:br/>
            </w:r>
            <w:r w:rsidR="00160D23">
              <w:rPr>
                <w:b/>
                <w:sz w:val="16"/>
                <w:szCs w:val="16"/>
              </w:rPr>
              <w:br/>
              <w:t xml:space="preserve">Note: </w:t>
            </w:r>
            <w:proofErr w:type="spellStart"/>
            <w:r w:rsidR="00160D23">
              <w:rPr>
                <w:sz w:val="16"/>
                <w:szCs w:val="16"/>
              </w:rPr>
              <w:t>Forprøvning</w:t>
            </w:r>
            <w:proofErr w:type="spellEnd"/>
            <w:r w:rsidR="00160D23">
              <w:rPr>
                <w:sz w:val="16"/>
                <w:szCs w:val="16"/>
              </w:rPr>
              <w:t xml:space="preserve"> udføres </w:t>
            </w:r>
            <w:r w:rsidR="00796AA2">
              <w:rPr>
                <w:sz w:val="16"/>
                <w:szCs w:val="16"/>
              </w:rPr>
              <w:t>inden selve produktionen igangsættes – typisk 3 prøvefelter</w:t>
            </w:r>
          </w:p>
          <w:p w14:paraId="69EF0385" w14:textId="74C885B7" w:rsidR="00796AA2" w:rsidRDefault="009A370B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Pr="00E12085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 w:rsidRPr="00E12085">
              <w:rPr>
                <w:b/>
                <w:sz w:val="16"/>
                <w:szCs w:val="16"/>
              </w:rPr>
              <w:t>te:</w:t>
            </w:r>
            <w:r>
              <w:rPr>
                <w:sz w:val="16"/>
                <w:szCs w:val="16"/>
              </w:rPr>
              <w:t xml:space="preserve"> Placering af opmåles og indtegnes  </w:t>
            </w:r>
          </w:p>
          <w:p w14:paraId="409BAAD2" w14:textId="631EFB04" w:rsidR="00D519CC" w:rsidRPr="00E12085" w:rsidRDefault="009A370B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796AA2" w:rsidRPr="00E12085">
              <w:rPr>
                <w:b/>
                <w:sz w:val="16"/>
                <w:szCs w:val="16"/>
              </w:rPr>
              <w:t>Note:</w:t>
            </w:r>
            <w:r w:rsidR="00796AA2">
              <w:rPr>
                <w:sz w:val="16"/>
                <w:szCs w:val="16"/>
              </w:rPr>
              <w:t xml:space="preserve"> Placering af afrivningsforsøg skal vælges så det dækker det udførte arbejde –           eks. områder forskellige typer reparation af underlaget.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0ED0" w14:textId="21D6AEE0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E79C6" w14:textId="0D424704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  <w:u w:val="single"/>
              </w:rPr>
              <w:t>Materialer: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br/>
              <w:t xml:space="preserve">       Er batch nr. for hhv. grunder/forsegling og bundmembran jf. AAB's krav:</w:t>
            </w:r>
          </w:p>
          <w:p w14:paraId="4B363954" w14:textId="6157361E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E94A50" w:rsidRPr="00E94A50">
              <w:rPr>
                <w:b/>
                <w:sz w:val="16"/>
                <w:szCs w:val="16"/>
                <w:u w:val="single"/>
              </w:rPr>
              <w:t>P</w:t>
            </w:r>
            <w:r w:rsidRPr="00E94A50">
              <w:rPr>
                <w:b/>
                <w:sz w:val="16"/>
                <w:szCs w:val="16"/>
                <w:u w:val="single"/>
              </w:rPr>
              <w:t>røvefelter:</w:t>
            </w:r>
            <w:r w:rsidR="00E94A50">
              <w:rPr>
                <w:sz w:val="16"/>
                <w:szCs w:val="16"/>
              </w:rPr>
              <w:t xml:space="preserve">         </w:t>
            </w:r>
            <w:r w:rsidR="00E94A50">
              <w:rPr>
                <w:sz w:val="16"/>
                <w:szCs w:val="16"/>
              </w:rPr>
              <w:br/>
              <w:t xml:space="preserve">        Er grunding/forsegling udført iht. projektets krav: </w:t>
            </w:r>
          </w:p>
          <w:p w14:paraId="1401ADBB" w14:textId="0D05DB09" w:rsidR="00E94A50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94A50">
              <w:rPr>
                <w:sz w:val="16"/>
                <w:szCs w:val="16"/>
              </w:rPr>
              <w:br/>
              <w:t xml:space="preserve">        Er der udført aftræksforsøg:</w:t>
            </w:r>
          </w:p>
          <w:p w14:paraId="63067927" w14:textId="34FD1D79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F4C53FD" w14:textId="51E2215C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udført afrivningsforsøg – entreprenør:</w:t>
            </w:r>
            <w:r w:rsidR="00160D23">
              <w:rPr>
                <w:sz w:val="16"/>
                <w:szCs w:val="16"/>
              </w:rPr>
              <w:br/>
              <w:t xml:space="preserve">      </w:t>
            </w:r>
          </w:p>
          <w:p w14:paraId="53026EAF" w14:textId="20598CC5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udført afrivningsforsøg</w:t>
            </w:r>
            <w:r w:rsidR="00E94A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bemærkninger:</w:t>
            </w:r>
          </w:p>
          <w:p w14:paraId="267A212F" w14:textId="77777777" w:rsidR="00E94A50" w:rsidRDefault="00E94A50" w:rsidP="00D519CC">
            <w:pPr>
              <w:rPr>
                <w:sz w:val="16"/>
                <w:szCs w:val="16"/>
              </w:rPr>
            </w:pPr>
          </w:p>
          <w:p w14:paraId="3657C3B8" w14:textId="48098823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overværet aftræksforsøg og afrivningsforsøg – bemærkninger:   </w:t>
            </w:r>
          </w:p>
          <w:p w14:paraId="687D8896" w14:textId="77777777" w:rsidR="00D519CC" w:rsidRDefault="00E94A50" w:rsidP="00D519CC">
            <w:r>
              <w:t xml:space="preserve">    </w:t>
            </w:r>
          </w:p>
          <w:p w14:paraId="3BA7D1D8" w14:textId="0A4D61EC" w:rsidR="009A370B" w:rsidRPr="0065124A" w:rsidRDefault="009A370B" w:rsidP="00A040B0">
            <w:r>
              <w:t xml:space="preserve">       </w:t>
            </w:r>
            <w:r>
              <w:rPr>
                <w:sz w:val="16"/>
                <w:szCs w:val="16"/>
              </w:rPr>
              <w:t xml:space="preserve">Accept af </w:t>
            </w:r>
            <w:proofErr w:type="spellStart"/>
            <w:r>
              <w:rPr>
                <w:sz w:val="16"/>
                <w:szCs w:val="16"/>
              </w:rPr>
              <w:t>forprøvning</w:t>
            </w:r>
            <w:proofErr w:type="spellEnd"/>
            <w:r>
              <w:rPr>
                <w:sz w:val="16"/>
                <w:szCs w:val="16"/>
              </w:rPr>
              <w:t xml:space="preserve"> er afgivet:</w:t>
            </w:r>
          </w:p>
        </w:tc>
      </w:tr>
    </w:tbl>
    <w:p w14:paraId="75760567" w14:textId="55B24405" w:rsidR="00D519CC" w:rsidRDefault="00D519CC" w:rsidP="00D519CC">
      <w:pPr>
        <w:jc w:val="both"/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D519CC" w:rsidRPr="00E168E4" w14:paraId="53DAFC11" w14:textId="77777777" w:rsidTr="00865F88">
        <w:trPr>
          <w:trHeight w:val="26"/>
        </w:trPr>
        <w:tc>
          <w:tcPr>
            <w:tcW w:w="196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DC931" w14:textId="77777777" w:rsidR="00D519CC" w:rsidRPr="00E168E4" w:rsidRDefault="00D519CC" w:rsidP="00865F88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2328" w14:textId="77777777" w:rsidR="00D519CC" w:rsidRPr="00E168E4" w:rsidRDefault="00D519CC" w:rsidP="00865F88">
            <w:pPr>
              <w:keepNext/>
              <w:spacing w:line="240" w:lineRule="auto"/>
              <w:jc w:val="both"/>
              <w:rPr>
                <w:b/>
              </w:rPr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CEDA4E0" w14:textId="5F69AAC8" w:rsidR="00D519CC" w:rsidRPr="00E168E4" w:rsidRDefault="00D519CC" w:rsidP="00865F88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D519CC" w:rsidRPr="0065124A" w14:paraId="3BAAA564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742B495F" w14:textId="2BA1B3A8" w:rsidR="00D519CC" w:rsidRDefault="00D519CC" w:rsidP="00D519CC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Udførelse:</w:t>
            </w:r>
          </w:p>
        </w:tc>
      </w:tr>
      <w:tr w:rsidR="00D519CC" w:rsidRPr="0065124A" w14:paraId="17E93966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573" w14:textId="565BE66C" w:rsidR="00D519CC" w:rsidRPr="00D519CC" w:rsidDel="001B3682" w:rsidRDefault="00D519CC" w:rsidP="00D519C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Bundmembran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86C6" w14:textId="77777777" w:rsidR="00D519CC" w:rsidRPr="00136271" w:rsidDel="006B565E" w:rsidRDefault="00D519CC" w:rsidP="00D519CC">
            <w:pPr>
              <w:keepNext/>
              <w:spacing w:line="250" w:lineRule="exact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E2409" w14:textId="55E9AC08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Beskrivelse af vejrliget if. udførelsen:</w:t>
            </w:r>
          </w:p>
        </w:tc>
      </w:tr>
      <w:tr w:rsidR="00D519CC" w:rsidRPr="0065124A" w14:paraId="7FA9E8EC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77B0" w14:textId="749953EF" w:rsidR="00D519CC" w:rsidRPr="00D519CC" w:rsidRDefault="00D519CC" w:rsidP="00E1208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Bundmembran</w:t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Tværretning</w:t>
            </w:r>
            <w:r w:rsidRPr="00D519CC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Længderetning</w:t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Pr="00D519CC">
              <w:rPr>
                <w:b/>
                <w:sz w:val="16"/>
                <w:szCs w:val="16"/>
              </w:rPr>
              <w:t>Både på langs og tværs</w:t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Kontrol af overlæg</w:t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 w:rsidRPr="00E12085">
              <w:rPr>
                <w:b/>
                <w:sz w:val="16"/>
                <w:szCs w:val="16"/>
              </w:rPr>
              <w:t>Note:</w:t>
            </w:r>
            <w:r w:rsidR="00796AA2">
              <w:rPr>
                <w:sz w:val="16"/>
                <w:szCs w:val="16"/>
              </w:rPr>
              <w:t xml:space="preserve"> Placering af afriv-</w:t>
            </w:r>
            <w:proofErr w:type="spellStart"/>
            <w:r w:rsidR="00796AA2">
              <w:rPr>
                <w:sz w:val="16"/>
                <w:szCs w:val="16"/>
              </w:rPr>
              <w:t>ningsforsøg</w:t>
            </w:r>
            <w:proofErr w:type="spellEnd"/>
            <w:r w:rsidR="00796AA2">
              <w:rPr>
                <w:sz w:val="16"/>
                <w:szCs w:val="16"/>
              </w:rPr>
              <w:t xml:space="preserve"> skal vælges</w:t>
            </w:r>
            <w:r w:rsidR="00D06FBC">
              <w:rPr>
                <w:sz w:val="16"/>
                <w:szCs w:val="16"/>
              </w:rPr>
              <w:t>,</w:t>
            </w:r>
            <w:r w:rsidR="00796AA2">
              <w:rPr>
                <w:sz w:val="16"/>
                <w:szCs w:val="16"/>
              </w:rPr>
              <w:t xml:space="preserve"> så det dækker det udførte arbejde (eks. områder forskellige typer </w:t>
            </w:r>
            <w:proofErr w:type="spellStart"/>
            <w:r w:rsidR="00796AA2">
              <w:rPr>
                <w:sz w:val="16"/>
                <w:szCs w:val="16"/>
              </w:rPr>
              <w:t>repara-tion</w:t>
            </w:r>
            <w:proofErr w:type="spellEnd"/>
            <w:r w:rsidR="00796AA2">
              <w:rPr>
                <w:sz w:val="16"/>
                <w:szCs w:val="16"/>
              </w:rPr>
              <w:t xml:space="preserve"> af underlaget).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B7B" w14:textId="3EBBD13D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0465E" w14:textId="526B3A47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bundmembran jf. AAB's krav:       </w:t>
            </w:r>
          </w:p>
          <w:p w14:paraId="2C36B21C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12DFE448" w14:textId="21EC9B6A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Anvendes "flammeorgel" til </w:t>
            </w:r>
            <w:proofErr w:type="spellStart"/>
            <w:r>
              <w:rPr>
                <w:sz w:val="16"/>
                <w:szCs w:val="16"/>
              </w:rPr>
              <w:t>påsvejsning</w:t>
            </w:r>
            <w:proofErr w:type="spellEnd"/>
            <w:r>
              <w:rPr>
                <w:sz w:val="16"/>
                <w:szCs w:val="16"/>
              </w:rPr>
              <w:t xml:space="preserve"> af membran:</w:t>
            </w:r>
          </w:p>
          <w:p w14:paraId="30B89037" w14:textId="77777777" w:rsidR="00E94A50" w:rsidRDefault="00E94A50" w:rsidP="00D519CC">
            <w:pPr>
              <w:rPr>
                <w:sz w:val="16"/>
                <w:szCs w:val="16"/>
              </w:rPr>
            </w:pPr>
          </w:p>
          <w:p w14:paraId="33815E3B" w14:textId="3C8E28C1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baner udlagt nedefra og mod højderyg på brodækket: </w:t>
            </w:r>
          </w:p>
          <w:p w14:paraId="49C72638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78121279" w14:textId="23BC3348" w:rsidR="00847FEF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baner udlagt så baner har toppunkt ved broens toppunkt:</w:t>
            </w:r>
          </w:p>
          <w:p w14:paraId="3245650A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2B420408" w14:textId="77777777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produktionskontrol (afrivningsforsøg – entreprenør):</w:t>
            </w:r>
          </w:p>
          <w:p w14:paraId="5F7A1B0B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6A6C611E" w14:textId="5AD699DB" w:rsidR="00847FEF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der taget højde for broens evt. krumning ved udlægningen:</w:t>
            </w:r>
          </w:p>
          <w:p w14:paraId="1EA160C1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0F1DCF82" w14:textId="6A99E00F" w:rsidR="00160D23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Tilsynet har udført (afrivningsforsøg) - bemærkninger:</w:t>
            </w:r>
            <w:r w:rsidR="00160D23">
              <w:rPr>
                <w:sz w:val="16"/>
                <w:szCs w:val="16"/>
              </w:rPr>
              <w:br/>
              <w:t xml:space="preserve">         </w:t>
            </w:r>
          </w:p>
          <w:p w14:paraId="2D54F875" w14:textId="194D9F44" w:rsidR="00D519CC" w:rsidRDefault="000C0CE6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Kontrol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 </w:t>
            </w:r>
          </w:p>
          <w:p w14:paraId="6B80CA34" w14:textId="77777777" w:rsidR="000C0CE6" w:rsidRDefault="000C0CE6" w:rsidP="00D519CC">
            <w:pPr>
              <w:rPr>
                <w:sz w:val="16"/>
                <w:szCs w:val="16"/>
              </w:rPr>
            </w:pPr>
          </w:p>
          <w:p w14:paraId="2FCC7B05" w14:textId="5298327A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Accept af bundmembran er afgivet:</w:t>
            </w:r>
          </w:p>
          <w:p w14:paraId="774A7CFD" w14:textId="1AB4260E" w:rsidR="00D519CC" w:rsidRPr="0065124A" w:rsidRDefault="00D519CC" w:rsidP="00D519CC"/>
        </w:tc>
      </w:tr>
      <w:tr w:rsidR="00D519CC" w14:paraId="27BBDB09" w14:textId="77777777" w:rsidTr="00D519CC">
        <w:trPr>
          <w:trHeight w:val="567"/>
        </w:trPr>
        <w:tc>
          <w:tcPr>
            <w:tcW w:w="19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385043" w14:textId="0F19E4DE" w:rsidR="00884579" w:rsidRPr="00D519CC" w:rsidRDefault="00D519CC" w:rsidP="00884579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Dryprør</w:t>
            </w:r>
            <w:r w:rsidR="00884579">
              <w:rPr>
                <w:b/>
                <w:sz w:val="16"/>
                <w:szCs w:val="16"/>
              </w:rPr>
              <w:br/>
            </w:r>
            <w:r w:rsidR="00884579">
              <w:rPr>
                <w:b/>
                <w:sz w:val="16"/>
                <w:szCs w:val="16"/>
              </w:rPr>
              <w:br/>
            </w:r>
            <w:r w:rsidR="00884579">
              <w:rPr>
                <w:b/>
                <w:sz w:val="16"/>
                <w:szCs w:val="16"/>
              </w:rPr>
              <w:br/>
            </w:r>
            <w:r w:rsidR="00884579">
              <w:rPr>
                <w:b/>
                <w:sz w:val="16"/>
                <w:szCs w:val="16"/>
              </w:rPr>
              <w:br/>
            </w:r>
            <w:r w:rsidR="00884579" w:rsidRPr="00E12085">
              <w:rPr>
                <w:b/>
                <w:sz w:val="16"/>
                <w:szCs w:val="16"/>
              </w:rPr>
              <w:t>Note:</w:t>
            </w:r>
            <w:r w:rsidR="00884579">
              <w:rPr>
                <w:sz w:val="16"/>
                <w:szCs w:val="16"/>
              </w:rPr>
              <w:t xml:space="preserve"> Er dryprør udført i en alternativ form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FF1E" w14:textId="77777777" w:rsidR="00D519CC" w:rsidRPr="0065124A" w:rsidRDefault="00D519CC" w:rsidP="00865F88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579F08" w14:textId="6B2772F8" w:rsidR="00D519CC" w:rsidRDefault="00D519CC" w:rsidP="00865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dokumentation jf. AAB's krav:</w:t>
            </w:r>
          </w:p>
          <w:p w14:paraId="2D7CAE1B" w14:textId="77777777" w:rsidR="00D519CC" w:rsidRDefault="00D519CC" w:rsidP="00865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indbygget imellem bund- og topmembran:</w:t>
            </w:r>
          </w:p>
          <w:p w14:paraId="232FFE21" w14:textId="77777777" w:rsidR="00D519CC" w:rsidRDefault="00D519CC" w:rsidP="00865F88">
            <w:pPr>
              <w:rPr>
                <w:sz w:val="16"/>
                <w:szCs w:val="16"/>
              </w:rPr>
            </w:pPr>
          </w:p>
          <w:p w14:paraId="0334F3EF" w14:textId="77777777" w:rsidR="00D519CC" w:rsidRDefault="00D519CC" w:rsidP="00865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indbygget direkte på overside brodæk (i kegle med våd epoxy):</w:t>
            </w:r>
          </w:p>
          <w:p w14:paraId="217ED74A" w14:textId="77777777" w:rsidR="00D519CC" w:rsidRDefault="00D519CC" w:rsidP="00865F88">
            <w:pPr>
              <w:rPr>
                <w:sz w:val="16"/>
                <w:szCs w:val="16"/>
              </w:rPr>
            </w:pPr>
          </w:p>
          <w:p w14:paraId="1A1605F5" w14:textId="2C35947D" w:rsidR="00D519CC" w:rsidRDefault="00D519CC" w:rsidP="00865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sandblæst </w:t>
            </w:r>
            <w:r w:rsidR="000C0CE6">
              <w:rPr>
                <w:sz w:val="16"/>
                <w:szCs w:val="16"/>
              </w:rPr>
              <w:t xml:space="preserve">på </w:t>
            </w:r>
            <w:r>
              <w:rPr>
                <w:sz w:val="16"/>
                <w:szCs w:val="16"/>
              </w:rPr>
              <w:t>over- og underside inden indbygning:</w:t>
            </w:r>
          </w:p>
          <w:p w14:paraId="59EF4AD7" w14:textId="77777777" w:rsidR="00D519CC" w:rsidRDefault="00D519CC" w:rsidP="00865F88">
            <w:pPr>
              <w:rPr>
                <w:sz w:val="16"/>
                <w:szCs w:val="16"/>
              </w:rPr>
            </w:pPr>
          </w:p>
          <w:p w14:paraId="4C16F4D8" w14:textId="77777777" w:rsidR="00D519CC" w:rsidRDefault="00D519CC" w:rsidP="00865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dryprør påført epoxy på overside af krave:</w:t>
            </w:r>
          </w:p>
        </w:tc>
      </w:tr>
    </w:tbl>
    <w:p w14:paraId="3936007F" w14:textId="77777777" w:rsidR="00D06FBC" w:rsidRDefault="00D06FBC"/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D519CC" w:rsidRPr="0065124A" w14:paraId="39FEB11C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BC1A" w14:textId="546A9049" w:rsidR="00D519CC" w:rsidRDefault="00D519CC" w:rsidP="00D519CC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br w:type="page"/>
            </w: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07E9" w14:textId="4802B0D6" w:rsidR="00D519CC" w:rsidRPr="0065124A" w:rsidRDefault="00D519CC" w:rsidP="00D519CC">
            <w:pPr>
              <w:keepNext/>
              <w:spacing w:line="250" w:lineRule="exact"/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6A6704" w14:textId="0A977660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   (fotodokumentation udføres ved alle tilsyn mv.)</w:t>
            </w:r>
          </w:p>
        </w:tc>
      </w:tr>
      <w:tr w:rsidR="00D519CC" w:rsidRPr="0065124A" w14:paraId="5FB87C5C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E37E" w14:textId="39E90A68" w:rsidR="00D519CC" w:rsidRPr="00847FEF" w:rsidRDefault="00D519CC" w:rsidP="00D519CC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847FEF">
              <w:rPr>
                <w:b/>
                <w:sz w:val="16"/>
                <w:szCs w:val="16"/>
              </w:rPr>
              <w:t>Topmembran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4E8F" w14:textId="77777777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52D6A" w14:textId="77777777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Beskrivelse af vejrliget if. udførelsen:</w:t>
            </w:r>
          </w:p>
          <w:p w14:paraId="38D1B278" w14:textId="1C66108A" w:rsidR="00D519CC" w:rsidRDefault="00D519CC" w:rsidP="00D519CC">
            <w:pPr>
              <w:rPr>
                <w:sz w:val="16"/>
                <w:szCs w:val="16"/>
              </w:rPr>
            </w:pPr>
          </w:p>
        </w:tc>
      </w:tr>
      <w:tr w:rsidR="00D519CC" w:rsidRPr="0065124A" w14:paraId="41C753D2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9F0B" w14:textId="044E5F41" w:rsidR="00847FEF" w:rsidRPr="00847FEF" w:rsidRDefault="00D519CC" w:rsidP="00856C29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847FEF">
              <w:rPr>
                <w:b/>
                <w:sz w:val="16"/>
                <w:szCs w:val="16"/>
              </w:rPr>
              <w:t>Topmembran</w:t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Tværretning</w:t>
            </w:r>
            <w:r w:rsidR="00847FEF" w:rsidRPr="00D519CC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Længderetning</w:t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 w:rsidRPr="00D519CC">
              <w:rPr>
                <w:b/>
                <w:sz w:val="16"/>
                <w:szCs w:val="16"/>
              </w:rPr>
              <w:t>Både på langs og tværs</w:t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</w:r>
            <w:r w:rsidR="00847FEF">
              <w:rPr>
                <w:b/>
                <w:sz w:val="16"/>
                <w:szCs w:val="16"/>
              </w:rPr>
              <w:br/>
              <w:t>Kontrol af overlæg</w:t>
            </w:r>
            <w:r w:rsidR="00856C29">
              <w:rPr>
                <w:b/>
                <w:sz w:val="16"/>
                <w:szCs w:val="16"/>
              </w:rPr>
              <w:br/>
            </w:r>
            <w:r w:rsidR="00856C29">
              <w:rPr>
                <w:b/>
                <w:sz w:val="16"/>
                <w:szCs w:val="16"/>
              </w:rPr>
              <w:br/>
            </w:r>
            <w:r w:rsidR="00856C29">
              <w:rPr>
                <w:b/>
                <w:sz w:val="16"/>
                <w:szCs w:val="16"/>
              </w:rPr>
              <w:br/>
            </w:r>
            <w:r w:rsidR="00856C29">
              <w:rPr>
                <w:b/>
                <w:sz w:val="16"/>
                <w:szCs w:val="16"/>
              </w:rPr>
              <w:br/>
            </w:r>
            <w:r w:rsidR="00856C29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796AA2">
              <w:rPr>
                <w:b/>
                <w:sz w:val="16"/>
                <w:szCs w:val="16"/>
              </w:rPr>
              <w:br/>
            </w:r>
            <w:r w:rsidR="00856C29">
              <w:rPr>
                <w:b/>
                <w:sz w:val="16"/>
                <w:szCs w:val="16"/>
              </w:rPr>
              <w:t xml:space="preserve">Kontrol mod </w:t>
            </w:r>
            <w:proofErr w:type="spellStart"/>
            <w:r w:rsidR="00856C29">
              <w:rPr>
                <w:b/>
                <w:sz w:val="16"/>
                <w:szCs w:val="16"/>
              </w:rPr>
              <w:t>opstuvning</w:t>
            </w:r>
            <w:proofErr w:type="spellEnd"/>
            <w:r w:rsidR="00856C29">
              <w:rPr>
                <w:b/>
                <w:sz w:val="16"/>
                <w:szCs w:val="16"/>
              </w:rPr>
              <w:t xml:space="preserve"> i drænlag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45D4" w14:textId="77777777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0DE197" w14:textId="0A50CD51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topmembran jf. AAB's krav:                   </w:t>
            </w:r>
          </w:p>
          <w:p w14:paraId="7C7F89F1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50F07C95" w14:textId="58E14350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Anvendes "flammeorgel" til </w:t>
            </w:r>
            <w:proofErr w:type="spellStart"/>
            <w:r>
              <w:rPr>
                <w:sz w:val="16"/>
                <w:szCs w:val="16"/>
              </w:rPr>
              <w:t>påsvejsningen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1FA003E7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55E843AE" w14:textId="28DDDC3C" w:rsidR="00847FEF" w:rsidRDefault="00847FEF" w:rsidP="0084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baner udlagt nedefra og mod højderyg på brodækket: </w:t>
            </w:r>
          </w:p>
          <w:p w14:paraId="4A794E04" w14:textId="77777777" w:rsidR="00847FEF" w:rsidRDefault="00847FEF" w:rsidP="00847FEF">
            <w:pPr>
              <w:rPr>
                <w:sz w:val="16"/>
                <w:szCs w:val="16"/>
              </w:rPr>
            </w:pPr>
          </w:p>
          <w:p w14:paraId="2AB2C732" w14:textId="77777777" w:rsidR="00847FEF" w:rsidRDefault="00847FEF" w:rsidP="0084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baner udlagt så baner har toppunkt ved broens toppunkt:</w:t>
            </w:r>
          </w:p>
          <w:p w14:paraId="2790978A" w14:textId="77777777" w:rsidR="00847FEF" w:rsidRDefault="00847FEF" w:rsidP="00847FEF">
            <w:pPr>
              <w:rPr>
                <w:sz w:val="16"/>
                <w:szCs w:val="16"/>
              </w:rPr>
            </w:pPr>
          </w:p>
          <w:p w14:paraId="4A586409" w14:textId="7562844B" w:rsidR="00D519CC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produktionskontrol (afrivningsforsøg – entreprenør):</w:t>
            </w:r>
          </w:p>
          <w:p w14:paraId="5BFDC7D3" w14:textId="77777777" w:rsidR="00847FEF" w:rsidRDefault="00847FEF" w:rsidP="00D519CC">
            <w:pPr>
              <w:rPr>
                <w:sz w:val="16"/>
                <w:szCs w:val="16"/>
              </w:rPr>
            </w:pPr>
          </w:p>
          <w:p w14:paraId="31E7E270" w14:textId="4E6E0DF6" w:rsidR="00847FEF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Er der taget højde for broens evt. krumning ved udlægningen:</w:t>
            </w:r>
          </w:p>
          <w:p w14:paraId="2DF1B48A" w14:textId="2CA7DE7C" w:rsidR="000C0CE6" w:rsidRDefault="000C0CE6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Kontrol omkring </w:t>
            </w:r>
            <w:proofErr w:type="spellStart"/>
            <w:r>
              <w:rPr>
                <w:sz w:val="16"/>
                <w:szCs w:val="16"/>
              </w:rPr>
              <w:t>opkanter</w:t>
            </w:r>
            <w:proofErr w:type="spellEnd"/>
            <w:r>
              <w:rPr>
                <w:sz w:val="16"/>
                <w:szCs w:val="16"/>
              </w:rPr>
              <w:t xml:space="preserve"> og overgange og lignende (som ikke er kantbjælker) – eks. på    </w:t>
            </w:r>
            <w:r>
              <w:rPr>
                <w:sz w:val="16"/>
                <w:szCs w:val="16"/>
              </w:rPr>
              <w:br/>
              <w:t xml:space="preserve">        perrontunneller eller broer med brodæk i flere højder.</w:t>
            </w:r>
          </w:p>
          <w:p w14:paraId="24485ED3" w14:textId="77777777" w:rsidR="00856C29" w:rsidRDefault="00856C29" w:rsidP="00D519CC">
            <w:pPr>
              <w:rPr>
                <w:sz w:val="16"/>
                <w:szCs w:val="16"/>
              </w:rPr>
            </w:pPr>
          </w:p>
          <w:p w14:paraId="076A98A7" w14:textId="5A68D6F4" w:rsidR="00856C29" w:rsidRDefault="00856C29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udløb af overtræksmasse langs kanter jf. AAB:</w:t>
            </w:r>
          </w:p>
          <w:p w14:paraId="3C0286E2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47FD6F3B" w14:textId="4EA6FB7A" w:rsidR="00D519CC" w:rsidRDefault="00847FEF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D519CC">
              <w:rPr>
                <w:sz w:val="16"/>
                <w:szCs w:val="16"/>
              </w:rPr>
              <w:t xml:space="preserve">          Tilsynet har udført (afrivningsforsøg) - bemærkninger:</w:t>
            </w:r>
          </w:p>
          <w:p w14:paraId="60A1102F" w14:textId="77777777" w:rsidR="00D519CC" w:rsidRDefault="00D519CC" w:rsidP="00D519CC">
            <w:pPr>
              <w:rPr>
                <w:sz w:val="16"/>
                <w:szCs w:val="16"/>
              </w:rPr>
            </w:pPr>
          </w:p>
          <w:p w14:paraId="293A90AD" w14:textId="306931C4" w:rsidR="00D519CC" w:rsidRPr="0065124A" w:rsidRDefault="00847FEF" w:rsidP="00D519CC">
            <w:pPr>
              <w:keepNext/>
              <w:spacing w:line="250" w:lineRule="exact"/>
            </w:pPr>
            <w:r>
              <w:rPr>
                <w:sz w:val="16"/>
                <w:szCs w:val="16"/>
              </w:rPr>
              <w:br/>
            </w:r>
            <w:r w:rsidR="00D519CC">
              <w:rPr>
                <w:sz w:val="16"/>
                <w:szCs w:val="16"/>
              </w:rPr>
              <w:t xml:space="preserve">         Accept af topmembran er afgivet:</w:t>
            </w:r>
          </w:p>
          <w:p w14:paraId="46CD01B5" w14:textId="77777777" w:rsidR="00D519CC" w:rsidRPr="0065124A" w:rsidRDefault="00D519CC" w:rsidP="00D519CC">
            <w:pPr>
              <w:keepNext/>
              <w:spacing w:line="250" w:lineRule="exact"/>
            </w:pPr>
          </w:p>
        </w:tc>
      </w:tr>
    </w:tbl>
    <w:p w14:paraId="3B730F7A" w14:textId="77777777" w:rsidR="0052799D" w:rsidRDefault="0052799D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52799D" w:rsidRPr="0065124A" w14:paraId="35C13D0E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42F" w14:textId="5212EF4C" w:rsidR="0052799D" w:rsidRPr="00847FEF" w:rsidRDefault="0052799D" w:rsidP="0052799D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64" w14:textId="7014AAC3" w:rsidR="0052799D" w:rsidRPr="0065124A" w:rsidRDefault="0052799D" w:rsidP="0052799D">
            <w:pPr>
              <w:keepNext/>
              <w:spacing w:line="250" w:lineRule="exact"/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D7D98A" w14:textId="73C995B1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52799D" w:rsidRPr="0065124A" w14:paraId="641CA867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6264" w14:textId="2714B98C" w:rsidR="0052799D" w:rsidRPr="00847FEF" w:rsidRDefault="0052799D" w:rsidP="0052799D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847FEF">
              <w:rPr>
                <w:b/>
                <w:sz w:val="16"/>
                <w:szCs w:val="16"/>
              </w:rPr>
              <w:t>Inddækning, kantbjælke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9F85" w14:textId="77777777" w:rsidR="0052799D" w:rsidRPr="0065124A" w:rsidRDefault="0052799D" w:rsidP="0052799D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B37475" w14:textId="1E8E4E9D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der produktionskontrol – omkring hulkele (afrivningsforsøg – entreprenør):</w:t>
            </w:r>
          </w:p>
          <w:p w14:paraId="10877989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384E25C2" w14:textId="54E03851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Tilsynet har udført (afrivningsforsøg) - bemærkninger:</w:t>
            </w:r>
          </w:p>
          <w:p w14:paraId="611F0833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7E8A6C48" w14:textId="1F690B9B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Er EPDM folie jf. AAB's krav:</w:t>
            </w:r>
          </w:p>
          <w:p w14:paraId="290B44AA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305608A6" w14:textId="0C7DAE12" w:rsidR="0052799D" w:rsidRPr="0065124A" w:rsidRDefault="0052799D" w:rsidP="0052799D">
            <w:pPr>
              <w:keepNext/>
              <w:spacing w:line="250" w:lineRule="exact"/>
            </w:pPr>
            <w:r>
              <w:rPr>
                <w:sz w:val="16"/>
                <w:szCs w:val="16"/>
              </w:rPr>
              <w:t xml:space="preserve">         Accept af inddækninger ved kantbjælker er afgivet:</w:t>
            </w:r>
          </w:p>
          <w:p w14:paraId="58C3A1A2" w14:textId="77777777" w:rsidR="0052799D" w:rsidRDefault="0052799D" w:rsidP="0052799D">
            <w:pPr>
              <w:rPr>
                <w:sz w:val="16"/>
                <w:szCs w:val="16"/>
              </w:rPr>
            </w:pPr>
          </w:p>
        </w:tc>
      </w:tr>
      <w:tr w:rsidR="0052799D" w:rsidRPr="0065124A" w14:paraId="2EAA5963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020" w14:textId="41E4FF98" w:rsidR="0052799D" w:rsidRPr="00847FEF" w:rsidRDefault="0052799D" w:rsidP="0052799D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 w:rsidRPr="00847FEF">
              <w:rPr>
                <w:b/>
                <w:sz w:val="16"/>
                <w:szCs w:val="16"/>
              </w:rPr>
              <w:t>Klemskinne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87F2" w14:textId="77777777" w:rsidR="0052799D" w:rsidRPr="0065124A" w:rsidRDefault="0052799D" w:rsidP="0052799D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2A995" w14:textId="77777777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batch nr. for klemskinne og ankre jf. AAB's krav:</w:t>
            </w:r>
          </w:p>
          <w:p w14:paraId="1124E27B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4F1135DD" w14:textId="45441F5E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første opspænding udført (tilsynet tilstede):</w:t>
            </w:r>
          </w:p>
          <w:p w14:paraId="24434F40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514EAE23" w14:textId="675C8BE5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Er anden og sidste opspænding udført (tilsynet tilstede):</w:t>
            </w:r>
          </w:p>
          <w:p w14:paraId="527B51A0" w14:textId="77777777" w:rsidR="0052799D" w:rsidRDefault="0052799D" w:rsidP="0052799D">
            <w:pPr>
              <w:rPr>
                <w:sz w:val="16"/>
                <w:szCs w:val="16"/>
              </w:rPr>
            </w:pPr>
          </w:p>
          <w:p w14:paraId="5218ADA1" w14:textId="746839D5" w:rsidR="0052799D" w:rsidRDefault="0052799D" w:rsidP="00527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Accept af montage af klemskinner er afgivet:</w:t>
            </w:r>
          </w:p>
          <w:p w14:paraId="20210ADC" w14:textId="0C1D10C3" w:rsidR="0052799D" w:rsidRDefault="0052799D" w:rsidP="0052799D">
            <w:pPr>
              <w:rPr>
                <w:sz w:val="16"/>
                <w:szCs w:val="16"/>
              </w:rPr>
            </w:pPr>
          </w:p>
        </w:tc>
      </w:tr>
      <w:tr w:rsidR="0052799D" w:rsidRPr="0065124A" w14:paraId="3F6B4F5C" w14:textId="77777777" w:rsidTr="00D54309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7450B6EF" w14:textId="2F46FE6D" w:rsidR="0052799D" w:rsidRDefault="0052799D" w:rsidP="0052799D">
            <w:pPr>
              <w:rPr>
                <w:b/>
              </w:rPr>
            </w:pPr>
            <w:r w:rsidRPr="00E168E4">
              <w:rPr>
                <w:b/>
              </w:rPr>
              <w:t>Tilsynets</w:t>
            </w:r>
            <w:r>
              <w:rPr>
                <w:b/>
              </w:rPr>
              <w:t xml:space="preserve"> accept af udført fugtisoleringsarbejde (dateres og signeres):</w:t>
            </w:r>
          </w:p>
          <w:p w14:paraId="6CA6E738" w14:textId="77777777" w:rsidR="0052799D" w:rsidRDefault="0052799D" w:rsidP="0052799D">
            <w:pPr>
              <w:rPr>
                <w:b/>
              </w:rPr>
            </w:pPr>
          </w:p>
          <w:p w14:paraId="37728529" w14:textId="33F5B5EB" w:rsidR="0052799D" w:rsidRDefault="0052799D" w:rsidP="0052799D">
            <w:pPr>
              <w:rPr>
                <w:sz w:val="16"/>
                <w:szCs w:val="16"/>
              </w:rPr>
            </w:pPr>
          </w:p>
        </w:tc>
      </w:tr>
    </w:tbl>
    <w:p w14:paraId="04F20546" w14:textId="77777777" w:rsidR="00AA383C" w:rsidRDefault="00AA383C" w:rsidP="00D54309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50B1" w14:textId="77777777" w:rsidR="00B87996" w:rsidRDefault="00B87996" w:rsidP="00AA383C">
      <w:pPr>
        <w:spacing w:after="0" w:line="240" w:lineRule="auto"/>
      </w:pPr>
      <w:r>
        <w:separator/>
      </w:r>
    </w:p>
  </w:endnote>
  <w:endnote w:type="continuationSeparator" w:id="0">
    <w:p w14:paraId="05517C22" w14:textId="77777777" w:rsidR="00B87996" w:rsidRDefault="00B87996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8E91" w14:textId="77777777" w:rsidR="00B87996" w:rsidRDefault="00B87996" w:rsidP="00AA383C">
      <w:pPr>
        <w:spacing w:after="0" w:line="240" w:lineRule="auto"/>
      </w:pPr>
      <w:r>
        <w:separator/>
      </w:r>
    </w:p>
  </w:footnote>
  <w:footnote w:type="continuationSeparator" w:id="0">
    <w:p w14:paraId="7154C6EE" w14:textId="77777777" w:rsidR="00B87996" w:rsidRDefault="00B87996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1E81" w14:textId="36ABC8D6" w:rsidR="00AA383C" w:rsidRPr="00AB21B6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94563F" w:rsidRPr="0094563F">
      <w:t xml:space="preserve"> </w:t>
    </w:r>
    <w:r w:rsidR="0094563F">
      <w:t>Håndbog</w:t>
    </w:r>
    <w:r w:rsidR="0094563F" w:rsidRPr="007F04A3">
      <w:t xml:space="preserve"> </w:t>
    </w:r>
    <w:r w:rsidR="0094563F">
      <w:t>– Tilsyn - F</w:t>
    </w:r>
    <w:r w:rsidR="0094563F" w:rsidRPr="007F04A3">
      <w:t xml:space="preserve">ugtisolering og </w:t>
    </w:r>
    <w:r w:rsidR="0094563F">
      <w:t>B</w:t>
    </w:r>
    <w:r w:rsidR="0094563F" w:rsidRPr="007F04A3">
      <w:t>robelægning</w:t>
    </w:r>
    <w:r w:rsidR="0094563F" w:rsidRPr="0094563F">
      <w:t xml:space="preserve"> 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AB21B6">
      <w:rPr>
        <w:b/>
        <w:bCs/>
        <w:noProof/>
      </w:rPr>
      <w:t>7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AB21B6">
      <w:rPr>
        <w:b/>
        <w:bCs/>
        <w:noProof/>
      </w:rPr>
      <w:t>7</w:t>
    </w:r>
    <w:r w:rsidRPr="00A7206E">
      <w:rPr>
        <w:b/>
        <w:bCs/>
        <w:lang w:val="en-US"/>
      </w:rPr>
      <w:fldChar w:fldCharType="end"/>
    </w:r>
  </w:p>
  <w:p w14:paraId="10DEDF87" w14:textId="77777777" w:rsidR="00D06FBC" w:rsidRDefault="00A70D99" w:rsidP="00457B34">
    <w:pPr>
      <w:pStyle w:val="Header"/>
      <w:jc w:val="center"/>
      <w:rPr>
        <w:b/>
        <w:sz w:val="19"/>
        <w:szCs w:val="19"/>
      </w:rPr>
    </w:pPr>
    <w:r w:rsidRPr="00CB5A22">
      <w:rPr>
        <w:sz w:val="19"/>
        <w:szCs w:val="19"/>
      </w:rPr>
      <w:t>Bilag 1</w:t>
    </w:r>
    <w:r w:rsidR="0094563F" w:rsidRPr="00CB5A22">
      <w:rPr>
        <w:sz w:val="19"/>
        <w:szCs w:val="19"/>
      </w:rPr>
      <w:t xml:space="preserve"> -</w:t>
    </w:r>
    <w:r w:rsidR="00787FD2" w:rsidRPr="00CB5A22">
      <w:rPr>
        <w:sz w:val="19"/>
        <w:szCs w:val="19"/>
      </w:rPr>
      <w:t xml:space="preserve"> </w:t>
    </w:r>
    <w:r w:rsidR="006B565E" w:rsidRPr="00CB5A22">
      <w:rPr>
        <w:sz w:val="19"/>
        <w:szCs w:val="19"/>
      </w:rPr>
      <w:t>Bitumenbaseret fugtisolering</w:t>
    </w:r>
  </w:p>
  <w:p w14:paraId="0A465C7C" w14:textId="6E14CD82" w:rsidR="00457B34" w:rsidRPr="00457B34" w:rsidRDefault="0094563F" w:rsidP="00457B34">
    <w:pPr>
      <w:pStyle w:val="Header"/>
      <w:jc w:val="center"/>
      <w:rPr>
        <w:b/>
      </w:rPr>
    </w:pPr>
    <w:r>
      <w:rPr>
        <w:b/>
        <w:sz w:val="19"/>
        <w:szCs w:val="19"/>
      </w:rPr>
      <w:t>Tilsynsvejledning</w:t>
    </w:r>
    <w:r w:rsidR="00A70D99">
      <w:rPr>
        <w:b/>
        <w:sz w:val="19"/>
        <w:szCs w:val="19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553"/>
    <w:multiLevelType w:val="hybridMultilevel"/>
    <w:tmpl w:val="6D327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55FB"/>
    <w:multiLevelType w:val="hybridMultilevel"/>
    <w:tmpl w:val="A1805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7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01EB7"/>
    <w:multiLevelType w:val="hybridMultilevel"/>
    <w:tmpl w:val="2F2AD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100EB"/>
    <w:rsid w:val="0002202F"/>
    <w:rsid w:val="00030A70"/>
    <w:rsid w:val="00036668"/>
    <w:rsid w:val="00055E83"/>
    <w:rsid w:val="000763C4"/>
    <w:rsid w:val="000C0CE6"/>
    <w:rsid w:val="000D01D7"/>
    <w:rsid w:val="00124726"/>
    <w:rsid w:val="00160D23"/>
    <w:rsid w:val="001804E3"/>
    <w:rsid w:val="001967AC"/>
    <w:rsid w:val="001A078F"/>
    <w:rsid w:val="001B3682"/>
    <w:rsid w:val="001C15E8"/>
    <w:rsid w:val="001C199B"/>
    <w:rsid w:val="001C1BC3"/>
    <w:rsid w:val="00257A87"/>
    <w:rsid w:val="002B5FD4"/>
    <w:rsid w:val="00316057"/>
    <w:rsid w:val="00352F7F"/>
    <w:rsid w:val="003659CA"/>
    <w:rsid w:val="0039578E"/>
    <w:rsid w:val="003B0A6D"/>
    <w:rsid w:val="003D23F3"/>
    <w:rsid w:val="003D5EB5"/>
    <w:rsid w:val="00433502"/>
    <w:rsid w:val="0043607C"/>
    <w:rsid w:val="00457B34"/>
    <w:rsid w:val="00487E8C"/>
    <w:rsid w:val="004900FA"/>
    <w:rsid w:val="00492079"/>
    <w:rsid w:val="00493E3D"/>
    <w:rsid w:val="004A585B"/>
    <w:rsid w:val="004A5A7C"/>
    <w:rsid w:val="004B61B4"/>
    <w:rsid w:val="004D60FB"/>
    <w:rsid w:val="004E0083"/>
    <w:rsid w:val="0052799D"/>
    <w:rsid w:val="005B20AC"/>
    <w:rsid w:val="005F3F84"/>
    <w:rsid w:val="0063057A"/>
    <w:rsid w:val="00651845"/>
    <w:rsid w:val="00663516"/>
    <w:rsid w:val="006806BC"/>
    <w:rsid w:val="006B5108"/>
    <w:rsid w:val="006B565E"/>
    <w:rsid w:val="006E6129"/>
    <w:rsid w:val="006F032C"/>
    <w:rsid w:val="007016B4"/>
    <w:rsid w:val="00726D76"/>
    <w:rsid w:val="007271B8"/>
    <w:rsid w:val="00747B22"/>
    <w:rsid w:val="00781725"/>
    <w:rsid w:val="00787FD2"/>
    <w:rsid w:val="00796AA2"/>
    <w:rsid w:val="007A6AAF"/>
    <w:rsid w:val="007C2886"/>
    <w:rsid w:val="007D29DE"/>
    <w:rsid w:val="007D4281"/>
    <w:rsid w:val="007F04A3"/>
    <w:rsid w:val="0082424F"/>
    <w:rsid w:val="0083795B"/>
    <w:rsid w:val="00847FEF"/>
    <w:rsid w:val="00856C29"/>
    <w:rsid w:val="00884579"/>
    <w:rsid w:val="008A5917"/>
    <w:rsid w:val="008B4F02"/>
    <w:rsid w:val="008B607B"/>
    <w:rsid w:val="008D6C8B"/>
    <w:rsid w:val="008E27CA"/>
    <w:rsid w:val="008E5F59"/>
    <w:rsid w:val="008F0AFB"/>
    <w:rsid w:val="008F1110"/>
    <w:rsid w:val="008F49AF"/>
    <w:rsid w:val="0094563F"/>
    <w:rsid w:val="00947061"/>
    <w:rsid w:val="009512F8"/>
    <w:rsid w:val="00952076"/>
    <w:rsid w:val="009920BA"/>
    <w:rsid w:val="009A370B"/>
    <w:rsid w:val="009C365D"/>
    <w:rsid w:val="00A040B0"/>
    <w:rsid w:val="00A23CF6"/>
    <w:rsid w:val="00A519CF"/>
    <w:rsid w:val="00A64756"/>
    <w:rsid w:val="00A70D99"/>
    <w:rsid w:val="00A7206E"/>
    <w:rsid w:val="00A96C7F"/>
    <w:rsid w:val="00AA383C"/>
    <w:rsid w:val="00AB1A99"/>
    <w:rsid w:val="00AB21B6"/>
    <w:rsid w:val="00AC270E"/>
    <w:rsid w:val="00AD6D79"/>
    <w:rsid w:val="00AE11BC"/>
    <w:rsid w:val="00B426D6"/>
    <w:rsid w:val="00B651E5"/>
    <w:rsid w:val="00B670DA"/>
    <w:rsid w:val="00B7729F"/>
    <w:rsid w:val="00B87996"/>
    <w:rsid w:val="00B96B20"/>
    <w:rsid w:val="00C06F6F"/>
    <w:rsid w:val="00C34593"/>
    <w:rsid w:val="00C353F3"/>
    <w:rsid w:val="00C367EF"/>
    <w:rsid w:val="00C57C36"/>
    <w:rsid w:val="00C57DF9"/>
    <w:rsid w:val="00C704AB"/>
    <w:rsid w:val="00CA1E27"/>
    <w:rsid w:val="00CB5A22"/>
    <w:rsid w:val="00CC0C75"/>
    <w:rsid w:val="00CF4D43"/>
    <w:rsid w:val="00CF6B3F"/>
    <w:rsid w:val="00D03B3E"/>
    <w:rsid w:val="00D06FBC"/>
    <w:rsid w:val="00D225A9"/>
    <w:rsid w:val="00D232FE"/>
    <w:rsid w:val="00D4317B"/>
    <w:rsid w:val="00D519CC"/>
    <w:rsid w:val="00D54309"/>
    <w:rsid w:val="00D64AF5"/>
    <w:rsid w:val="00D8554F"/>
    <w:rsid w:val="00D96F05"/>
    <w:rsid w:val="00DA7A8F"/>
    <w:rsid w:val="00DB3901"/>
    <w:rsid w:val="00DD665D"/>
    <w:rsid w:val="00DF60AC"/>
    <w:rsid w:val="00E12085"/>
    <w:rsid w:val="00E168E4"/>
    <w:rsid w:val="00E20491"/>
    <w:rsid w:val="00E23FCB"/>
    <w:rsid w:val="00E60973"/>
    <w:rsid w:val="00E775FD"/>
    <w:rsid w:val="00E94A50"/>
    <w:rsid w:val="00EC68F2"/>
    <w:rsid w:val="00ED4FD5"/>
    <w:rsid w:val="00EE1B77"/>
    <w:rsid w:val="00F05C56"/>
    <w:rsid w:val="00F10F30"/>
    <w:rsid w:val="00F14089"/>
    <w:rsid w:val="00F50CAC"/>
    <w:rsid w:val="00F63BF9"/>
    <w:rsid w:val="00F73D8F"/>
    <w:rsid w:val="00F81F23"/>
    <w:rsid w:val="00FF2BB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4DDB7E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5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9F08-4793-4726-8A93-274F58E9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954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7</cp:revision>
  <cp:lastPrinted>2019-09-25T16:13:00Z</cp:lastPrinted>
  <dcterms:created xsi:type="dcterms:W3CDTF">2019-09-02T10:44:00Z</dcterms:created>
  <dcterms:modified xsi:type="dcterms:W3CDTF">2019-12-20T08:53:00Z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